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textAlignment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60288" behindDoc="0" locked="0" layoutInCell="1" allowOverlap="1">
            <wp:simplePos x="0" y="0"/>
            <wp:positionH relativeFrom="page">
              <wp:posOffset>10756900</wp:posOffset>
            </wp:positionH>
            <wp:positionV relativeFrom="topMargin">
              <wp:posOffset>10210800</wp:posOffset>
            </wp:positionV>
            <wp:extent cx="444500" cy="317500"/>
            <wp:effectExtent l="0" t="0" r="1270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6"/>
                    <a:stretch>
                      <a:fillRect/>
                    </a:stretch>
                  </pic:blipFill>
                  <pic:spPr>
                    <a:xfrm>
                      <a:off x="0" y="0"/>
                      <a:ext cx="444500" cy="317500"/>
                    </a:xfrm>
                    <a:prstGeom prst="rect">
                      <a:avLst/>
                    </a:prstGeom>
                  </pic:spPr>
                </pic:pic>
              </a:graphicData>
            </a:graphic>
          </wp:anchor>
        </w:drawing>
      </w:r>
      <w:r>
        <w:rPr>
          <w:rFonts w:ascii="Times New Roman" w:hAnsi="Times New Roman" w:eastAsia="Times New Roman" w:cs="Times New Roman"/>
          <w:b/>
          <w:color w:val="auto"/>
          <w:sz w:val="32"/>
        </w:rPr>
        <w:drawing>
          <wp:anchor distT="0" distB="0" distL="114300" distR="114300" simplePos="0" relativeHeight="251661312" behindDoc="0" locked="0" layoutInCell="1" allowOverlap="1">
            <wp:simplePos x="0" y="0"/>
            <wp:positionH relativeFrom="page">
              <wp:posOffset>11722100</wp:posOffset>
            </wp:positionH>
            <wp:positionV relativeFrom="topMargin">
              <wp:posOffset>11201400</wp:posOffset>
            </wp:positionV>
            <wp:extent cx="368300" cy="469900"/>
            <wp:effectExtent l="0" t="0" r="12700" b="6350"/>
            <wp:wrapNone/>
            <wp:docPr id="2100299482" name="图片 21002994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299482" name="图片 2100299482"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368300" cy="469900"/>
                    </a:xfrm>
                    <a:prstGeom prst="rect">
                      <a:avLst/>
                    </a:prstGeom>
                  </pic:spPr>
                </pic:pic>
              </a:graphicData>
            </a:graphic>
          </wp:anchor>
        </w:drawing>
      </w:r>
      <w:r>
        <w:rPr>
          <w:rFonts w:ascii="Times New Roman" w:hAnsi="Times New Roman" w:eastAsia="Times New Roman" w:cs="Times New Roman"/>
          <w:b/>
          <w:color w:val="auto"/>
          <w:sz w:val="32"/>
        </w:rPr>
        <w:t>2026</w:t>
      </w:r>
      <w:r>
        <w:rPr>
          <w:rFonts w:ascii="宋体" w:hAnsi="宋体" w:eastAsia="宋体" w:cs="宋体"/>
          <w:b/>
          <w:color w:val="auto"/>
          <w:sz w:val="32"/>
        </w:rPr>
        <w:t>年普通高中学业水平等级考试（山东卷）</w:t>
      </w:r>
    </w:p>
    <w:p>
      <w:pPr>
        <w:spacing w:line="360" w:lineRule="auto"/>
        <w:jc w:val="center"/>
        <w:textAlignment w:val="center"/>
      </w:pPr>
      <w:r>
        <w:rPr>
          <w:rFonts w:ascii="宋体" w:hAnsi="宋体" w:eastAsia="宋体" w:cs="宋体"/>
          <w:b/>
          <w:color w:val="auto"/>
          <w:sz w:val="32"/>
        </w:rPr>
        <w:t>地理</w:t>
      </w:r>
    </w:p>
    <w:p>
      <w:pPr>
        <w:spacing w:line="360" w:lineRule="auto"/>
        <w:jc w:val="center"/>
        <w:textAlignment w:val="center"/>
      </w:pP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pPr>
        <w:spacing w:line="360" w:lineRule="auto"/>
        <w:jc w:val="left"/>
        <w:textAlignment w:val="cente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分。每小题只有一个选项符合题目要求。</w:t>
      </w:r>
    </w:p>
    <w:p>
      <w:pPr>
        <w:spacing w:line="360" w:lineRule="auto"/>
        <w:ind w:firstLine="420"/>
        <w:jc w:val="left"/>
        <w:textAlignment w:val="center"/>
      </w:pPr>
      <w:r>
        <w:rPr>
          <w:rFonts w:ascii="楷体" w:hAnsi="楷体" w:eastAsia="楷体" w:cs="楷体"/>
          <w:color w:val="auto"/>
        </w:rPr>
        <w:t>中欧商贸物流合作园区是</w:t>
      </w:r>
      <w:r>
        <w:rPr>
          <w:rFonts w:ascii="宋体" w:hAnsi="宋体" w:eastAsia="宋体" w:cs="宋体"/>
          <w:color w:val="auto"/>
        </w:rPr>
        <w:t>“</w:t>
      </w:r>
      <w:r>
        <w:rPr>
          <w:rFonts w:ascii="楷体" w:hAnsi="楷体" w:eastAsia="楷体" w:cs="楷体"/>
          <w:color w:val="auto"/>
        </w:rPr>
        <w:t>一带一路</w:t>
      </w:r>
      <w:r>
        <w:rPr>
          <w:rFonts w:ascii="宋体" w:hAnsi="宋体" w:eastAsia="宋体" w:cs="宋体"/>
          <w:color w:val="auto"/>
        </w:rPr>
        <w:t>”</w:t>
      </w:r>
      <w:r>
        <w:rPr>
          <w:rFonts w:ascii="楷体" w:hAnsi="楷体" w:eastAsia="楷体" w:cs="楷体"/>
          <w:color w:val="auto"/>
        </w:rPr>
        <w:t>倡议产能合作的重要平台。中国在匈牙利设立的</w:t>
      </w:r>
      <w:r>
        <w:rPr>
          <w:rFonts w:ascii="Times New Roman" w:hAnsi="Times New Roman" w:eastAsia="Times New Roman" w:cs="Times New Roman"/>
          <w:color w:val="auto"/>
        </w:rPr>
        <w:t>3</w:t>
      </w:r>
      <w:r>
        <w:rPr>
          <w:rFonts w:ascii="楷体" w:hAnsi="楷体" w:eastAsia="楷体" w:cs="楷体"/>
          <w:color w:val="auto"/>
        </w:rPr>
        <w:t>个海外园区（下表），是中欧商贸物流合作园区的重要组成部分，</w:t>
      </w:r>
      <w:r>
        <w:rPr>
          <w:rFonts w:ascii="Times New Roman" w:hAnsi="Times New Roman" w:eastAsia="Times New Roman" w:cs="Times New Roman"/>
          <w:color w:val="auto"/>
        </w:rPr>
        <w:t>3</w:t>
      </w:r>
      <w:r>
        <w:rPr>
          <w:rFonts w:ascii="楷体" w:hAnsi="楷体" w:eastAsia="楷体" w:cs="楷体"/>
          <w:color w:val="auto"/>
        </w:rPr>
        <w:t>个园区间通过商贸、物流与服务保障进行联动。据此完成下面小题。</w:t>
      </w:r>
    </w:p>
    <w:tbl>
      <w:tblPr>
        <w:tblStyle w:val="4"/>
        <w:tblW w:w="80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89"/>
        <w:gridCol w:w="3156"/>
        <w:gridCol w:w="2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海外园区</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位置</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中国商品交易展示中心</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布达佩斯的商业区</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商贸交易、展示平台等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切佩尔港物流园</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布达佩斯多瑙河畔的港区</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通关报检、流通加工等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瓦茨电商产业园</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布达佩斯以北</w:t>
            </w:r>
            <w:r>
              <w:rPr>
                <w:rFonts w:ascii="Times New Roman" w:hAnsi="Times New Roman" w:eastAsia="Times New Roman" w:cs="Times New Roman"/>
                <w:color w:val="auto"/>
              </w:rPr>
              <w:t>30.4km</w:t>
            </w:r>
            <w:r>
              <w:rPr>
                <w:rFonts w:ascii="楷体" w:hAnsi="楷体" w:eastAsia="楷体" w:cs="楷体"/>
                <w:color w:val="auto"/>
              </w:rPr>
              <w:t>的瓦茨镇</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pPr>
            <w:r>
              <w:rPr>
                <w:rFonts w:ascii="楷体" w:hAnsi="楷体" w:eastAsia="楷体" w:cs="楷体"/>
                <w:color w:val="auto"/>
              </w:rPr>
              <w:t>仓储、分拨</w:t>
            </w:r>
          </w:p>
        </w:tc>
      </w:tr>
    </w:tbl>
    <w:p>
      <w:pPr>
        <w:spacing w:line="360" w:lineRule="auto"/>
        <w:ind w:firstLine="420"/>
        <w:jc w:val="left"/>
        <w:textAlignment w:val="center"/>
      </w:pPr>
      <w:r>
        <w:rPr>
          <w:rFonts w:ascii="楷体" w:hAnsi="楷体" w:eastAsia="楷体" w:cs="楷体"/>
          <w:b/>
          <w:color w:val="auto"/>
        </w:rPr>
        <w:t>注：</w:t>
      </w:r>
      <w:r>
        <w:rPr>
          <w:rFonts w:ascii="楷体" w:hAnsi="楷体" w:eastAsia="楷体" w:cs="楷体"/>
          <w:color w:val="auto"/>
        </w:rPr>
        <w:t>布达佩斯为匈牙利首都。</w:t>
      </w:r>
    </w:p>
    <w:p>
      <w:pPr>
        <w:spacing w:line="360" w:lineRule="auto"/>
        <w:jc w:val="left"/>
        <w:textAlignment w:val="center"/>
      </w:pPr>
      <w:r>
        <w:rPr>
          <w:color w:val="auto"/>
        </w:rPr>
        <w:t xml:space="preserve">1. </w:t>
      </w:r>
      <w:r>
        <w:rPr>
          <w:rFonts w:ascii="宋体" w:hAnsi="宋体" w:eastAsia="宋体" w:cs="宋体"/>
          <w:color w:val="auto"/>
        </w:rPr>
        <w:t>流通加工是流通过程中对产品实施的简单加工活动（包括分割、组装等）。在流通加工环节，中国企业选择与匈牙利企业进行合作，主要有利于（</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提高研发水平</w:t>
      </w:r>
      <w:r>
        <w:tab/>
      </w:r>
      <w:r>
        <w:t xml:space="preserve">B. </w:t>
      </w:r>
      <w:r>
        <w:rPr>
          <w:rFonts w:ascii="宋体" w:hAnsi="宋体" w:eastAsia="宋体" w:cs="宋体"/>
          <w:color w:val="auto"/>
        </w:rPr>
        <w:t>获取原材料</w:t>
      </w:r>
      <w:r>
        <w:tab/>
      </w:r>
      <w:r>
        <w:t xml:space="preserve">C. </w:t>
      </w:r>
      <w:r>
        <w:rPr>
          <w:rFonts w:ascii="宋体" w:hAnsi="宋体" w:eastAsia="宋体" w:cs="宋体"/>
          <w:color w:val="auto"/>
        </w:rPr>
        <w:t>适应市场需求</w:t>
      </w:r>
      <w:r>
        <w:tab/>
      </w:r>
      <w:r>
        <w:t xml:space="preserve">D. </w:t>
      </w:r>
      <w:r>
        <w:rPr>
          <w:rFonts w:ascii="宋体" w:hAnsi="宋体" w:eastAsia="宋体" w:cs="宋体"/>
          <w:color w:val="auto"/>
        </w:rPr>
        <w:t>降低劳动力成本</w:t>
      </w:r>
    </w:p>
    <w:p>
      <w:pPr>
        <w:spacing w:line="360" w:lineRule="auto"/>
        <w:jc w:val="left"/>
        <w:textAlignment w:val="center"/>
      </w:pPr>
      <w:r>
        <w:rPr>
          <w:color w:val="auto"/>
        </w:rPr>
        <w:t xml:space="preserve">2. </w:t>
      </w:r>
      <w:r>
        <w:rPr>
          <w:rFonts w:ascii="宋体" w:hAnsi="宋体" w:eastAsia="宋体" w:cs="宋体"/>
          <w:color w:val="auto"/>
        </w:rPr>
        <w:t>影响瓦茨电商产业园选址的主要因素是（</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自然环境</w:t>
      </w:r>
      <w:r>
        <w:tab/>
      </w:r>
      <w:r>
        <w:t xml:space="preserve">B. </w:t>
      </w:r>
      <w:r>
        <w:rPr>
          <w:rFonts w:ascii="宋体" w:hAnsi="宋体" w:eastAsia="宋体" w:cs="宋体"/>
          <w:color w:val="auto"/>
        </w:rPr>
        <w:t>地价</w:t>
      </w:r>
      <w:r>
        <w:tab/>
      </w:r>
      <w:r>
        <w:t xml:space="preserve">C. </w:t>
      </w:r>
      <w:r>
        <w:rPr>
          <w:rFonts w:ascii="宋体" w:hAnsi="宋体" w:eastAsia="宋体" w:cs="宋体"/>
          <w:color w:val="auto"/>
        </w:rPr>
        <w:t>能源</w:t>
      </w:r>
      <w:r>
        <w:tab/>
      </w:r>
      <w:r>
        <w:t xml:space="preserve">D. </w:t>
      </w:r>
      <w:r>
        <w:rPr>
          <w:rFonts w:ascii="宋体" w:hAnsi="宋体" w:eastAsia="宋体" w:cs="宋体"/>
          <w:color w:val="auto"/>
        </w:rPr>
        <w:t>技术</w:t>
      </w:r>
    </w:p>
    <w:p>
      <w:pPr>
        <w:spacing w:line="360" w:lineRule="auto"/>
        <w:jc w:val="left"/>
        <w:textAlignment w:val="center"/>
      </w:pPr>
      <w:r>
        <w:rPr>
          <w:color w:val="auto"/>
        </w:rPr>
        <w:t xml:space="preserve">3. </w:t>
      </w:r>
      <w:r>
        <w:rPr>
          <w:rFonts w:ascii="宋体" w:hAnsi="宋体" w:eastAsia="宋体" w:cs="宋体"/>
          <w:color w:val="auto"/>
        </w:rPr>
        <w:t>在匈牙利设立的</w:t>
      </w:r>
      <w:r>
        <w:rPr>
          <w:rFonts w:ascii="Times New Roman" w:hAnsi="Times New Roman" w:eastAsia="Times New Roman" w:cs="Times New Roman"/>
          <w:color w:val="auto"/>
        </w:rPr>
        <w:t>3</w:t>
      </w:r>
      <w:r>
        <w:rPr>
          <w:rFonts w:ascii="宋体" w:hAnsi="宋体" w:eastAsia="宋体" w:cs="宋体"/>
          <w:color w:val="auto"/>
        </w:rPr>
        <w:t>个海外园区联动运营的主要目的是（</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保障产品质量</w:t>
      </w:r>
      <w:r>
        <w:tab/>
      </w:r>
      <w:r>
        <w:t xml:space="preserve">B. </w:t>
      </w:r>
      <w:r>
        <w:rPr>
          <w:rFonts w:ascii="宋体" w:hAnsi="宋体" w:eastAsia="宋体" w:cs="宋体"/>
          <w:color w:val="auto"/>
        </w:rPr>
        <w:t>提高仓储能力</w:t>
      </w:r>
      <w:r>
        <w:tab/>
      </w:r>
      <w:r>
        <w:t xml:space="preserve">C. </w:t>
      </w:r>
      <w:r>
        <w:rPr>
          <w:rFonts w:ascii="宋体" w:hAnsi="宋体" w:eastAsia="宋体" w:cs="宋体"/>
          <w:color w:val="auto"/>
        </w:rPr>
        <w:t>提升加工水平</w:t>
      </w:r>
      <w:r>
        <w:tab/>
      </w:r>
      <w:r>
        <w:t xml:space="preserve">D. </w:t>
      </w:r>
      <w:r>
        <w:rPr>
          <w:rFonts w:ascii="宋体" w:hAnsi="宋体" w:eastAsia="宋体" w:cs="宋体"/>
          <w:color w:val="auto"/>
        </w:rPr>
        <w:t>促进分工协作</w:t>
      </w:r>
    </w:p>
    <w:p>
      <w:pPr>
        <w:spacing w:line="360" w:lineRule="auto"/>
        <w:ind w:firstLine="420"/>
        <w:jc w:val="left"/>
        <w:textAlignment w:val="center"/>
        <w:rPr>
          <w:color w:val="000000"/>
        </w:rPr>
      </w:pPr>
      <w:r>
        <w:rPr>
          <w:rFonts w:ascii="楷体" w:hAnsi="楷体" w:eastAsia="楷体" w:cs="楷体"/>
          <w:color w:val="000000"/>
        </w:rPr>
        <w:t>下表为</w:t>
      </w:r>
      <w:r>
        <w:rPr>
          <w:rFonts w:ascii="Times New Roman" w:hAnsi="Times New Roman" w:eastAsia="Times New Roman" w:cs="Times New Roman"/>
          <w:color w:val="000000"/>
        </w:rPr>
        <w:t>2000</w:t>
      </w:r>
      <w:r>
        <w:rPr>
          <w:rFonts w:ascii="楷体" w:hAnsi="楷体" w:eastAsia="楷体" w:cs="楷体"/>
          <w:color w:val="000000"/>
        </w:rPr>
        <w:t>年与</w:t>
      </w:r>
      <w:r>
        <w:rPr>
          <w:rFonts w:ascii="Times New Roman" w:hAnsi="Times New Roman" w:eastAsia="Times New Roman" w:cs="Times New Roman"/>
          <w:color w:val="000000"/>
        </w:rPr>
        <w:t>2020</w:t>
      </w:r>
      <w:r>
        <w:rPr>
          <w:rFonts w:ascii="楷体" w:hAnsi="楷体" w:eastAsia="楷体" w:cs="楷体"/>
          <w:color w:val="000000"/>
        </w:rPr>
        <w:t>年成都市中心城区、近郊区县和远郊区县的常住人口数量、</w:t>
      </w:r>
      <w:r>
        <w:rPr>
          <w:rFonts w:ascii="Times New Roman" w:hAnsi="Times New Roman" w:eastAsia="Times New Roman" w:cs="Times New Roman"/>
          <w:color w:val="000000"/>
        </w:rPr>
        <w:t>60</w:t>
      </w:r>
      <w:r>
        <w:rPr>
          <w:rFonts w:ascii="楷体" w:hAnsi="楷体" w:eastAsia="楷体" w:cs="楷体"/>
          <w:color w:val="000000"/>
        </w:rPr>
        <w:t>岁及以上人口占比。据此完成下面小题。</w:t>
      </w:r>
    </w:p>
    <w:tbl>
      <w:tblPr>
        <w:tblStyle w:val="4"/>
        <w:tblW w:w="65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7"/>
        <w:gridCol w:w="1294"/>
        <w:gridCol w:w="1308"/>
        <w:gridCol w:w="1353"/>
        <w:gridCol w:w="1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区域</w:t>
            </w:r>
          </w:p>
        </w:tc>
        <w:tc>
          <w:tcPr>
            <w:tcW w:w="258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常住人口数量</w:t>
            </w:r>
            <w:r>
              <w:rPr>
                <w:rFonts w:ascii="Times New Roman" w:hAnsi="Times New Roman" w:eastAsia="Times New Roman" w:cs="Times New Roman"/>
                <w:color w:val="000000"/>
              </w:rPr>
              <w:t>(</w:t>
            </w:r>
            <w:r>
              <w:rPr>
                <w:rFonts w:ascii="楷体" w:hAnsi="楷体" w:eastAsia="楷体" w:cs="楷体"/>
                <w:color w:val="000000"/>
              </w:rPr>
              <w:t>万人</w:t>
            </w:r>
            <w:r>
              <w:rPr>
                <w:rFonts w:ascii="Times New Roman" w:hAnsi="Times New Roman" w:eastAsia="Times New Roman" w:cs="Times New Roman"/>
                <w:color w:val="000000"/>
              </w:rPr>
              <w:t>)</w:t>
            </w:r>
          </w:p>
        </w:tc>
        <w:tc>
          <w:tcPr>
            <w:tcW w:w="277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60</w:t>
            </w:r>
            <w:r>
              <w:rPr>
                <w:rFonts w:ascii="楷体" w:hAnsi="楷体" w:eastAsia="楷体" w:cs="楷体"/>
                <w:color w:val="000000"/>
              </w:rPr>
              <w:t>岁及以上人口占比</w:t>
            </w:r>
            <w:r>
              <w:rPr>
                <w:rFonts w:ascii="Times New Roman" w:hAnsi="Times New Roman" w:eastAsia="Times New Roman" w:cs="Times New Roman"/>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pPr>
              <w:spacing w:line="360" w:lineRule="auto"/>
              <w:ind w:firstLine="420"/>
              <w:jc w:val="left"/>
              <w:textAlignment w:val="center"/>
              <w:rPr>
                <w:color w:val="000000"/>
              </w:rPr>
            </w:pP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2000</w:t>
            </w:r>
            <w:r>
              <w:rPr>
                <w:rFonts w:ascii="楷体" w:hAnsi="楷体" w:eastAsia="楷体" w:cs="楷体"/>
                <w:color w:val="000000"/>
              </w:rPr>
              <w:t>年</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2020</w:t>
            </w:r>
            <w:r>
              <w:rPr>
                <w:rFonts w:ascii="楷体" w:hAnsi="楷体" w:eastAsia="楷体" w:cs="楷体"/>
                <w:color w:val="000000"/>
              </w:rPr>
              <w:t>年</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2000</w:t>
            </w:r>
            <w:r>
              <w:rPr>
                <w:rFonts w:ascii="楷体" w:hAnsi="楷体" w:eastAsia="楷体" w:cs="楷体"/>
                <w:color w:val="000000"/>
              </w:rPr>
              <w:t>年</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2020</w:t>
            </w:r>
            <w:r>
              <w:rPr>
                <w:rFonts w:ascii="楷体" w:hAnsi="楷体" w:eastAsia="楷体" w:cs="楷体"/>
                <w:color w:val="000000"/>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中心城区</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347</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636</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11.26</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17.08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近郊区县</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345</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906</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11.84</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14.77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楷体" w:hAnsi="楷体" w:eastAsia="楷体" w:cs="楷体"/>
                <w:color w:val="000000"/>
              </w:rPr>
              <w:t>远郊区县</w:t>
            </w:r>
          </w:p>
        </w:tc>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560</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552</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12.69</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24.27</w:t>
            </w:r>
          </w:p>
        </w:tc>
      </w:tr>
    </w:tbl>
    <w:p>
      <w:pPr>
        <w:spacing w:line="360" w:lineRule="auto"/>
        <w:jc w:val="left"/>
        <w:textAlignment w:val="center"/>
        <w:rPr>
          <w:color w:val="000000"/>
        </w:rPr>
      </w:pPr>
    </w:p>
    <w:p>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2000</w:t>
      </w:r>
      <w:r>
        <w:rPr>
          <w:rFonts w:ascii="宋体" w:hAnsi="宋体" w:eastAsia="宋体" w:cs="宋体"/>
          <w:color w:val="000000"/>
        </w:rPr>
        <w:t>年成都市</w:t>
      </w:r>
      <w:r>
        <w:rPr>
          <w:rFonts w:ascii="Times New Roman" w:hAnsi="Times New Roman" w:eastAsia="Times New Roman" w:cs="Times New Roman"/>
          <w:color w:val="000000"/>
        </w:rPr>
        <w:t>3</w:t>
      </w:r>
      <w:r>
        <w:rPr>
          <w:rFonts w:ascii="宋体" w:hAnsi="宋体" w:eastAsia="宋体" w:cs="宋体"/>
          <w:color w:val="000000"/>
        </w:rPr>
        <w:t>个区域间人口老龄化程度的差异较小，</w:t>
      </w:r>
      <w:r>
        <w:rPr>
          <w:rFonts w:ascii="Times New Roman" w:hAnsi="Times New Roman" w:eastAsia="Times New Roman" w:cs="Times New Roman"/>
          <w:color w:val="000000"/>
        </w:rPr>
        <w:t>2020</w:t>
      </w:r>
      <w:r>
        <w:rPr>
          <w:rFonts w:ascii="宋体" w:hAnsi="宋体" w:eastAsia="宋体" w:cs="宋体"/>
          <w:color w:val="000000"/>
        </w:rPr>
        <w:t>年这一差异较大。导致这一变化的主要因素是（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人口性别比</w:t>
      </w:r>
      <w:r>
        <w:rPr>
          <w:color w:val="000000"/>
        </w:rPr>
        <w:tab/>
      </w:r>
      <w:r>
        <w:rPr>
          <w:color w:val="000000"/>
        </w:rPr>
        <w:t xml:space="preserve">B. </w:t>
      </w:r>
      <w:r>
        <w:rPr>
          <w:rFonts w:ascii="宋体" w:hAnsi="宋体" w:eastAsia="宋体" w:cs="宋体"/>
          <w:color w:val="000000"/>
        </w:rPr>
        <w:t>人口出生率</w:t>
      </w:r>
      <w:r>
        <w:rPr>
          <w:color w:val="000000"/>
        </w:rPr>
        <w:tab/>
      </w:r>
      <w:r>
        <w:rPr>
          <w:color w:val="000000"/>
        </w:rPr>
        <w:t xml:space="preserve">C. </w:t>
      </w:r>
      <w:r>
        <w:rPr>
          <w:rFonts w:ascii="宋体" w:hAnsi="宋体" w:eastAsia="宋体" w:cs="宋体"/>
          <w:color w:val="000000"/>
        </w:rPr>
        <w:t>人口死亡率</w:t>
      </w:r>
      <w:r>
        <w:rPr>
          <w:color w:val="000000"/>
        </w:rPr>
        <w:tab/>
      </w:r>
      <w:r>
        <w:rPr>
          <w:color w:val="000000"/>
        </w:rPr>
        <w:t xml:space="preserve">D. </w:t>
      </w:r>
      <w:r>
        <w:rPr>
          <w:rFonts w:ascii="宋体" w:hAnsi="宋体" w:eastAsia="宋体" w:cs="宋体"/>
          <w:color w:val="000000"/>
        </w:rPr>
        <w:t>人口迁移</w:t>
      </w:r>
    </w:p>
    <w:p>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2020</w:t>
      </w:r>
      <w:r>
        <w:rPr>
          <w:rFonts w:ascii="宋体" w:hAnsi="宋体" w:eastAsia="宋体" w:cs="宋体"/>
          <w:color w:val="000000"/>
        </w:rPr>
        <w:t>年成都市远郊区县人口老龄化程度最高，成为成都市的“老年环”，其主要原因是，与近郊区县相比，远郊区县（</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人口平均寿命较长</w:t>
      </w:r>
      <w:r>
        <w:rPr>
          <w:color w:val="000000"/>
        </w:rPr>
        <w:tab/>
      </w:r>
      <w:r>
        <w:rPr>
          <w:color w:val="000000"/>
        </w:rPr>
        <w:t xml:space="preserve">B. </w:t>
      </w:r>
      <w:r>
        <w:rPr>
          <w:rFonts w:ascii="宋体" w:hAnsi="宋体" w:eastAsia="宋体" w:cs="宋体"/>
          <w:color w:val="000000"/>
        </w:rPr>
        <w:t>人口密度较小</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受中心城区辐射较弱</w:t>
      </w:r>
      <w:r>
        <w:rPr>
          <w:color w:val="000000"/>
        </w:rPr>
        <w:tab/>
      </w:r>
      <w:r>
        <w:rPr>
          <w:color w:val="000000"/>
        </w:rPr>
        <w:t xml:space="preserve">D. </w:t>
      </w:r>
      <w:r>
        <w:rPr>
          <w:rFonts w:ascii="宋体" w:hAnsi="宋体" w:eastAsia="宋体" w:cs="宋体"/>
          <w:color w:val="000000"/>
        </w:rPr>
        <w:t>公共服务水平较高</w:t>
      </w:r>
    </w:p>
    <w:p>
      <w:pPr>
        <w:spacing w:line="360" w:lineRule="auto"/>
        <w:ind w:firstLine="420"/>
        <w:jc w:val="left"/>
        <w:textAlignment w:val="center"/>
        <w:rPr>
          <w:color w:val="000000"/>
        </w:rPr>
      </w:pPr>
      <w:r>
        <w:rPr>
          <w:rFonts w:ascii="楷体" w:hAnsi="楷体" w:eastAsia="楷体" w:cs="楷体"/>
          <w:color w:val="000000"/>
        </w:rPr>
        <w:t>某科研团队对巴伦支海和喀拉海区域（下图）</w:t>
      </w:r>
      <w:r>
        <w:rPr>
          <w:rFonts w:ascii="Times New Roman" w:hAnsi="Times New Roman" w:eastAsia="Times New Roman" w:cs="Times New Roman"/>
          <w:color w:val="000000"/>
        </w:rPr>
        <w:t>1991—2019</w:t>
      </w:r>
      <w:r>
        <w:rPr>
          <w:rFonts w:ascii="楷体" w:hAnsi="楷体" w:eastAsia="楷体" w:cs="楷体"/>
          <w:color w:val="000000"/>
        </w:rPr>
        <w:t>年月平均海冰厚度进行了研究。研究发现，甲处常年无海冰，</w:t>
      </w:r>
      <w:r>
        <w:rPr>
          <w:rFonts w:ascii="Times New Roman" w:hAnsi="Times New Roman" w:eastAsia="Times New Roman" w:cs="Times New Roman"/>
          <w:color w:val="000000"/>
        </w:rPr>
        <w:t>1—3</w:t>
      </w:r>
      <w:r>
        <w:rPr>
          <w:rFonts w:ascii="楷体" w:hAnsi="楷体" w:eastAsia="楷体" w:cs="楷体"/>
          <w:color w:val="000000"/>
        </w:rPr>
        <w:t>月乙、丙、丁</w:t>
      </w:r>
      <w:r>
        <w:rPr>
          <w:rFonts w:ascii="Times New Roman" w:hAnsi="Times New Roman" w:eastAsia="Times New Roman" w:cs="Times New Roman"/>
          <w:color w:val="000000"/>
        </w:rPr>
        <w:t>3</w:t>
      </w:r>
      <w:r>
        <w:rPr>
          <w:rFonts w:ascii="楷体" w:hAnsi="楷体" w:eastAsia="楷体" w:cs="楷体"/>
          <w:color w:val="000000"/>
        </w:rPr>
        <w:t>处海冰厚度不同，</w:t>
      </w:r>
      <w:r>
        <w:rPr>
          <w:rFonts w:ascii="Times New Roman" w:hAnsi="Times New Roman" w:eastAsia="Times New Roman" w:cs="Times New Roman"/>
          <w:color w:val="000000"/>
        </w:rPr>
        <w:t>8</w:t>
      </w:r>
      <w:r>
        <w:rPr>
          <w:rFonts w:ascii="楷体" w:hAnsi="楷体" w:eastAsia="楷体" w:cs="楷体"/>
          <w:color w:val="000000"/>
        </w:rPr>
        <w:t>月戊处海冰消融程度大。据此完成下面小题。</w:t>
      </w:r>
    </w:p>
    <w:p>
      <w:pPr>
        <w:spacing w:line="360" w:lineRule="auto"/>
        <w:jc w:val="left"/>
        <w:textAlignment w:val="center"/>
        <w:rPr>
          <w:color w:val="000000"/>
        </w:rPr>
      </w:pPr>
      <w:r>
        <w:rPr>
          <w:color w:val="000000"/>
        </w:rPr>
        <w:drawing>
          <wp:inline distT="0" distB="0" distL="114300" distR="114300">
            <wp:extent cx="5238750" cy="1938655"/>
            <wp:effectExtent l="0" t="0" r="0" b="444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5238750" cy="1938750"/>
                    </a:xfrm>
                    <a:prstGeom prst="rect">
                      <a:avLst/>
                    </a:prstGeom>
                  </pic:spPr>
                </pic:pic>
              </a:graphicData>
            </a:graphic>
          </wp:inline>
        </w:drawing>
      </w:r>
    </w:p>
    <w:p>
      <w:pPr>
        <w:spacing w:line="360" w:lineRule="auto"/>
        <w:jc w:val="left"/>
        <w:textAlignment w:val="center"/>
        <w:rPr>
          <w:color w:val="000000"/>
        </w:rPr>
      </w:pPr>
      <w:r>
        <w:rPr>
          <w:color w:val="000000"/>
        </w:rPr>
        <w:t xml:space="preserve">6. </w:t>
      </w:r>
      <w:r>
        <w:rPr>
          <w:rFonts w:ascii="宋体" w:hAnsi="宋体" w:eastAsia="宋体" w:cs="宋体"/>
          <w:color w:val="000000"/>
        </w:rPr>
        <w:t>与乙处相比，甲处常年无海冰的主要影响因素是（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w:t>
      </w:r>
      <w:r>
        <w:rPr>
          <w:color w:val="000000"/>
        </w:rPr>
        <w:tab/>
      </w:r>
      <w:r>
        <w:rPr>
          <w:color w:val="000000"/>
        </w:rPr>
        <w:t xml:space="preserve">B. </w:t>
      </w:r>
      <w:r>
        <w:rPr>
          <w:rFonts w:ascii="宋体" w:hAnsi="宋体" w:eastAsia="宋体" w:cs="宋体"/>
          <w:color w:val="000000"/>
        </w:rPr>
        <w:t>洋流</w:t>
      </w:r>
      <w:r>
        <w:rPr>
          <w:color w:val="000000"/>
        </w:rPr>
        <w:tab/>
      </w:r>
      <w:r>
        <w:rPr>
          <w:color w:val="000000"/>
        </w:rPr>
        <w:t xml:space="preserve">C. </w:t>
      </w:r>
      <w:r>
        <w:rPr>
          <w:rFonts w:ascii="宋体" w:hAnsi="宋体" w:eastAsia="宋体" w:cs="宋体"/>
          <w:color w:val="000000"/>
        </w:rPr>
        <w:t>降水</w:t>
      </w:r>
      <w:r>
        <w:rPr>
          <w:color w:val="000000"/>
        </w:rPr>
        <w:tab/>
      </w:r>
      <w:r>
        <w:rPr>
          <w:color w:val="000000"/>
        </w:rPr>
        <w:t xml:space="preserve">D. </w:t>
      </w:r>
      <w:r>
        <w:rPr>
          <w:rFonts w:ascii="宋体" w:hAnsi="宋体" w:eastAsia="宋体" w:cs="宋体"/>
          <w:color w:val="000000"/>
        </w:rPr>
        <w:t>盛行风</w:t>
      </w:r>
    </w:p>
    <w:p>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1—3</w:t>
      </w:r>
      <w:r>
        <w:rPr>
          <w:rFonts w:ascii="宋体" w:hAnsi="宋体" w:eastAsia="宋体" w:cs="宋体"/>
          <w:color w:val="000000"/>
        </w:rPr>
        <w:t>月，乙、丙、丁</w:t>
      </w:r>
      <w:r>
        <w:rPr>
          <w:rFonts w:ascii="Times New Roman" w:hAnsi="Times New Roman" w:eastAsia="Times New Roman" w:cs="Times New Roman"/>
          <w:color w:val="000000"/>
        </w:rPr>
        <w:t>3</w:t>
      </w:r>
      <w:r>
        <w:rPr>
          <w:rFonts w:ascii="宋体" w:hAnsi="宋体" w:eastAsia="宋体" w:cs="宋体"/>
          <w:color w:val="000000"/>
        </w:rPr>
        <w:t>处的海冰厚度由大到小的顺序是（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乙丙丁</w:t>
      </w:r>
      <w:r>
        <w:rPr>
          <w:color w:val="000000"/>
        </w:rPr>
        <w:tab/>
      </w:r>
      <w:r>
        <w:rPr>
          <w:color w:val="000000"/>
        </w:rPr>
        <w:t xml:space="preserve">B. </w:t>
      </w:r>
      <w:r>
        <w:rPr>
          <w:rFonts w:ascii="宋体" w:hAnsi="宋体" w:eastAsia="宋体" w:cs="宋体"/>
          <w:color w:val="000000"/>
        </w:rPr>
        <w:t>乙丁丙</w:t>
      </w:r>
      <w:r>
        <w:rPr>
          <w:color w:val="000000"/>
        </w:rPr>
        <w:tab/>
      </w:r>
      <w:r>
        <w:rPr>
          <w:color w:val="000000"/>
        </w:rPr>
        <w:t xml:space="preserve">C. </w:t>
      </w:r>
      <w:r>
        <w:rPr>
          <w:rFonts w:ascii="宋体" w:hAnsi="宋体" w:eastAsia="宋体" w:cs="宋体"/>
          <w:color w:val="000000"/>
        </w:rPr>
        <w:t>丙乙丁</w:t>
      </w:r>
      <w:r>
        <w:rPr>
          <w:color w:val="000000"/>
        </w:rPr>
        <w:tab/>
      </w:r>
      <w:r>
        <w:rPr>
          <w:color w:val="000000"/>
        </w:rPr>
        <w:t xml:space="preserve">D. </w:t>
      </w:r>
      <w:r>
        <w:rPr>
          <w:rFonts w:ascii="宋体" w:hAnsi="宋体" w:eastAsia="宋体" w:cs="宋体"/>
          <w:color w:val="000000"/>
        </w:rPr>
        <w:t>丙丁乙</w:t>
      </w:r>
    </w:p>
    <w:p>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8</w:t>
      </w:r>
      <w:r>
        <w:rPr>
          <w:rFonts w:ascii="宋体" w:hAnsi="宋体" w:eastAsia="宋体" w:cs="宋体"/>
          <w:color w:val="000000"/>
        </w:rPr>
        <w:t>月，与丁处相比，戊处海冰消融程度大的主要原因是该处（</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白昼时间长</w:t>
      </w:r>
      <w:r>
        <w:rPr>
          <w:color w:val="000000"/>
        </w:rPr>
        <w:tab/>
      </w:r>
      <w:r>
        <w:rPr>
          <w:color w:val="000000"/>
        </w:rPr>
        <w:t xml:space="preserve">B. </w:t>
      </w:r>
      <w:r>
        <w:rPr>
          <w:rFonts w:ascii="宋体" w:hAnsi="宋体" w:eastAsia="宋体" w:cs="宋体"/>
          <w:color w:val="000000"/>
        </w:rPr>
        <w:t>海水盐度低</w:t>
      </w:r>
      <w:r>
        <w:rPr>
          <w:color w:val="000000"/>
        </w:rPr>
        <w:tab/>
      </w:r>
      <w:r>
        <w:rPr>
          <w:color w:val="000000"/>
        </w:rPr>
        <w:t xml:space="preserve">C. </w:t>
      </w:r>
      <w:r>
        <w:rPr>
          <w:rFonts w:ascii="宋体" w:hAnsi="宋体" w:eastAsia="宋体" w:cs="宋体"/>
          <w:color w:val="000000"/>
        </w:rPr>
        <w:t>受径流影响大</w:t>
      </w:r>
      <w:r>
        <w:rPr>
          <w:color w:val="000000"/>
        </w:rPr>
        <w:tab/>
      </w:r>
      <w:r>
        <w:rPr>
          <w:color w:val="000000"/>
        </w:rPr>
        <w:t xml:space="preserve">D. </w:t>
      </w:r>
      <w:r>
        <w:rPr>
          <w:rFonts w:ascii="宋体" w:hAnsi="宋体" w:eastAsia="宋体" w:cs="宋体"/>
          <w:color w:val="000000"/>
        </w:rPr>
        <w:t>受极地高压控制</w:t>
      </w:r>
    </w:p>
    <w:p>
      <w:pPr>
        <w:spacing w:line="360" w:lineRule="auto"/>
        <w:ind w:firstLine="420"/>
        <w:jc w:val="left"/>
        <w:textAlignment w:val="center"/>
        <w:rPr>
          <w:color w:val="000000"/>
        </w:rPr>
      </w:pPr>
      <w:r>
        <w:rPr>
          <w:rFonts w:ascii="楷体" w:hAnsi="楷体" w:eastAsia="楷体" w:cs="楷体"/>
          <w:color w:val="000000"/>
        </w:rPr>
        <w:t>雄安新区容东片区正在打造地下智能物流系统。该系统包括分拨中心、专用地下物流通道和数量众多的地下社区配送中心。下图示意该系统的配送流程。据此完成下面小题。</w:t>
      </w:r>
    </w:p>
    <w:p>
      <w:pPr>
        <w:spacing w:line="360" w:lineRule="auto"/>
        <w:jc w:val="left"/>
        <w:textAlignment w:val="center"/>
        <w:rPr>
          <w:color w:val="000000"/>
        </w:rPr>
      </w:pPr>
      <w:r>
        <w:rPr>
          <w:color w:val="000000"/>
        </w:rPr>
        <w:drawing>
          <wp:inline distT="0" distB="0" distL="114300" distR="114300">
            <wp:extent cx="4657725" cy="590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657725" cy="590550"/>
                    </a:xfrm>
                    <a:prstGeom prst="rect">
                      <a:avLst/>
                    </a:prstGeom>
                  </pic:spPr>
                </pic:pic>
              </a:graphicData>
            </a:graphic>
          </wp:inline>
        </w:drawing>
      </w:r>
    </w:p>
    <w:p>
      <w:pPr>
        <w:spacing w:line="360" w:lineRule="auto"/>
        <w:jc w:val="left"/>
        <w:textAlignment w:val="center"/>
        <w:rPr>
          <w:color w:val="000000"/>
        </w:rPr>
      </w:pPr>
      <w:r>
        <w:rPr>
          <w:color w:val="000000"/>
        </w:rPr>
        <w:t xml:space="preserve">9. </w:t>
      </w:r>
      <w:r>
        <w:rPr>
          <w:rFonts w:ascii="宋体" w:hAnsi="宋体" w:eastAsia="宋体" w:cs="宋体"/>
          <w:color w:val="000000"/>
        </w:rPr>
        <w:t>雄安新区容东片区打造地下智能物流系统有利于（</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①缓解城市地面道路的交通压力</w:t>
      </w:r>
      <w:r>
        <w:rPr>
          <w:color w:val="000000"/>
        </w:rPr>
        <w:t xml:space="preserve">    </w:t>
      </w:r>
      <w:r>
        <w:rPr>
          <w:rFonts w:ascii="宋体" w:hAnsi="宋体" w:eastAsia="宋体" w:cs="宋体"/>
          <w:color w:val="000000"/>
        </w:rPr>
        <w:t>②提升城市物流的货物运送时效</w:t>
      </w:r>
    </w:p>
    <w:p>
      <w:pPr>
        <w:spacing w:line="360" w:lineRule="auto"/>
        <w:jc w:val="left"/>
        <w:textAlignment w:val="center"/>
        <w:rPr>
          <w:color w:val="000000"/>
        </w:rPr>
      </w:pPr>
      <w:r>
        <w:rPr>
          <w:rFonts w:ascii="宋体" w:hAnsi="宋体" w:eastAsia="宋体" w:cs="宋体"/>
          <w:color w:val="000000"/>
        </w:rPr>
        <w:t>③增加城市物流运送的货物类型</w:t>
      </w:r>
      <w:r>
        <w:rPr>
          <w:color w:val="000000"/>
        </w:rPr>
        <w:t xml:space="preserve">    </w:t>
      </w:r>
      <w:r>
        <w:rPr>
          <w:rFonts w:ascii="宋体" w:hAnsi="宋体" w:eastAsia="宋体" w:cs="宋体"/>
          <w:color w:val="000000"/>
        </w:rPr>
        <w:t>④扩大城市物流的配送服务范围</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pPr>
        <w:spacing w:line="360" w:lineRule="auto"/>
        <w:jc w:val="left"/>
        <w:textAlignment w:val="center"/>
        <w:rPr>
          <w:color w:val="000000"/>
        </w:rPr>
      </w:pPr>
      <w:r>
        <w:rPr>
          <w:color w:val="000000"/>
        </w:rPr>
        <w:t xml:space="preserve">10. </w:t>
      </w:r>
      <w:r>
        <w:rPr>
          <w:rFonts w:ascii="宋体" w:hAnsi="宋体" w:eastAsia="宋体" w:cs="宋体"/>
          <w:color w:val="000000"/>
        </w:rPr>
        <w:t>布局地下社区配送中心时，首要考虑的是（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仓储空间大小</w:t>
      </w:r>
      <w:r>
        <w:rPr>
          <w:color w:val="000000"/>
        </w:rPr>
        <w:tab/>
      </w:r>
      <w:r>
        <w:rPr>
          <w:color w:val="000000"/>
        </w:rPr>
        <w:t xml:space="preserve">B. </w:t>
      </w:r>
      <w:r>
        <w:rPr>
          <w:rFonts w:ascii="宋体" w:hAnsi="宋体" w:eastAsia="宋体" w:cs="宋体"/>
          <w:color w:val="000000"/>
        </w:rPr>
        <w:t>用户分布情况</w:t>
      </w:r>
      <w:r>
        <w:rPr>
          <w:color w:val="000000"/>
        </w:rPr>
        <w:tab/>
      </w:r>
      <w:r>
        <w:rPr>
          <w:color w:val="000000"/>
        </w:rPr>
        <w:t xml:space="preserve">C. </w:t>
      </w:r>
      <w:r>
        <w:rPr>
          <w:rFonts w:ascii="宋体" w:hAnsi="宋体" w:eastAsia="宋体" w:cs="宋体"/>
          <w:color w:val="000000"/>
        </w:rPr>
        <w:t>电力保障情况</w:t>
      </w:r>
      <w:r>
        <w:rPr>
          <w:color w:val="000000"/>
        </w:rPr>
        <w:tab/>
      </w:r>
      <w:r>
        <w:rPr>
          <w:color w:val="000000"/>
        </w:rPr>
        <w:t xml:space="preserve">D. </w:t>
      </w:r>
      <w:r>
        <w:rPr>
          <w:rFonts w:ascii="宋体" w:hAnsi="宋体" w:eastAsia="宋体" w:cs="宋体"/>
          <w:color w:val="000000"/>
        </w:rPr>
        <w:t>人口收入水平</w:t>
      </w:r>
    </w:p>
    <w:p>
      <w:pPr>
        <w:spacing w:line="360" w:lineRule="auto"/>
        <w:ind w:firstLine="420"/>
        <w:jc w:val="left"/>
        <w:textAlignment w:val="center"/>
        <w:rPr>
          <w:color w:val="000000"/>
        </w:rPr>
      </w:pPr>
      <w:r>
        <w:rPr>
          <w:rFonts w:ascii="楷体" w:hAnsi="楷体" w:eastAsia="楷体" w:cs="楷体"/>
          <w:color w:val="000000"/>
        </w:rPr>
        <w:t>湿地土壤多样性源于成土过程的差异性。下图示意某个由若干相对独立的小型洼地组成的热带湿地景观及甲、乙、丙、丁</w:t>
      </w:r>
      <w:r>
        <w:rPr>
          <w:rFonts w:ascii="Times New Roman" w:hAnsi="Times New Roman" w:eastAsia="Times New Roman" w:cs="Times New Roman"/>
          <w:color w:val="000000"/>
        </w:rPr>
        <w:t>4</w:t>
      </w:r>
      <w:r>
        <w:rPr>
          <w:rFonts w:ascii="楷体" w:hAnsi="楷体" w:eastAsia="楷体" w:cs="楷体"/>
          <w:color w:val="000000"/>
        </w:rPr>
        <w:t>处的土壤剖面。水体淹没洼地时，藻类生长会消耗水中溶解的二氧化碳，导致次生碳酸钙沉积。乙处土壤剖面中的两个古土壤层均由富含次生碳酸钙的沉积物发育而成。丁处因存在断层，未形成次生碳酸钙沉积。据此完成下面小题。</w:t>
      </w:r>
    </w:p>
    <w:p>
      <w:pPr>
        <w:spacing w:line="360" w:lineRule="auto"/>
        <w:jc w:val="left"/>
        <w:textAlignment w:val="center"/>
        <w:rPr>
          <w:color w:val="000000"/>
        </w:rPr>
      </w:pPr>
      <w:r>
        <w:rPr>
          <w:color w:val="000000"/>
        </w:rPr>
        <w:drawing>
          <wp:inline distT="0" distB="0" distL="114300" distR="114300">
            <wp:extent cx="4600575" cy="1371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4600575" cy="1371600"/>
                    </a:xfrm>
                    <a:prstGeom prst="rect">
                      <a:avLst/>
                    </a:prstGeom>
                  </pic:spPr>
                </pic:pic>
              </a:graphicData>
            </a:graphic>
          </wp:inline>
        </w:drawing>
      </w:r>
    </w:p>
    <w:p>
      <w:pPr>
        <w:spacing w:line="360" w:lineRule="auto"/>
        <w:jc w:val="left"/>
        <w:textAlignment w:val="center"/>
        <w:rPr>
          <w:color w:val="000000"/>
        </w:rPr>
      </w:pPr>
      <w:r>
        <w:rPr>
          <w:color w:val="000000"/>
        </w:rPr>
        <w:t xml:space="preserve">11. </w:t>
      </w:r>
      <w:r>
        <w:rPr>
          <w:rFonts w:ascii="宋体" w:hAnsi="宋体" w:eastAsia="宋体" w:cs="宋体"/>
          <w:color w:val="000000"/>
        </w:rPr>
        <w:t>甲、乙、丙、丁</w:t>
      </w:r>
      <w:r>
        <w:rPr>
          <w:rFonts w:ascii="Times New Roman" w:hAnsi="Times New Roman" w:eastAsia="Times New Roman" w:cs="Times New Roman"/>
          <w:color w:val="000000"/>
        </w:rPr>
        <w:t>4</w:t>
      </w:r>
      <w:r>
        <w:rPr>
          <w:rFonts w:ascii="宋体" w:hAnsi="宋体" w:eastAsia="宋体" w:cs="宋体"/>
          <w:color w:val="000000"/>
        </w:rPr>
        <w:t>处中，土壤的成土母质为基岩风化物的是（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甲处</w:t>
      </w:r>
      <w:r>
        <w:rPr>
          <w:color w:val="000000"/>
        </w:rPr>
        <w:tab/>
      </w:r>
      <w:r>
        <w:rPr>
          <w:color w:val="000000"/>
        </w:rPr>
        <w:t xml:space="preserve">B. </w:t>
      </w:r>
      <w:r>
        <w:rPr>
          <w:rFonts w:ascii="宋体" w:hAnsi="宋体" w:eastAsia="宋体" w:cs="宋体"/>
          <w:color w:val="000000"/>
        </w:rPr>
        <w:t>乙处</w:t>
      </w:r>
      <w:r>
        <w:rPr>
          <w:color w:val="000000"/>
        </w:rPr>
        <w:tab/>
      </w:r>
      <w:r>
        <w:rPr>
          <w:color w:val="000000"/>
        </w:rPr>
        <w:t xml:space="preserve">C. </w:t>
      </w:r>
      <w:r>
        <w:rPr>
          <w:rFonts w:ascii="宋体" w:hAnsi="宋体" w:eastAsia="宋体" w:cs="宋体"/>
          <w:color w:val="000000"/>
        </w:rPr>
        <w:t>丙处</w:t>
      </w:r>
      <w:r>
        <w:rPr>
          <w:color w:val="000000"/>
        </w:rPr>
        <w:tab/>
      </w:r>
      <w:r>
        <w:rPr>
          <w:color w:val="000000"/>
        </w:rPr>
        <w:t xml:space="preserve">D. </w:t>
      </w:r>
      <w:r>
        <w:rPr>
          <w:rFonts w:ascii="宋体" w:hAnsi="宋体" w:eastAsia="宋体" w:cs="宋体"/>
          <w:color w:val="000000"/>
        </w:rPr>
        <w:t>丁处</w:t>
      </w:r>
    </w:p>
    <w:p>
      <w:pPr>
        <w:spacing w:line="360" w:lineRule="auto"/>
        <w:jc w:val="left"/>
        <w:textAlignment w:val="center"/>
        <w:rPr>
          <w:color w:val="000000"/>
        </w:rPr>
      </w:pPr>
      <w:r>
        <w:rPr>
          <w:color w:val="000000"/>
        </w:rPr>
        <w:t xml:space="preserve">12. </w:t>
      </w:r>
      <w:r>
        <w:rPr>
          <w:rFonts w:ascii="宋体" w:hAnsi="宋体" w:eastAsia="宋体" w:cs="宋体"/>
          <w:color w:val="000000"/>
        </w:rPr>
        <w:t>丙处土壤剖面中，与腐殖质形成时期相比，次生碳酸钙沉积时期，丙处所在的小型洼地（</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蒸发量较小</w:t>
      </w:r>
      <w:r>
        <w:rPr>
          <w:color w:val="000000"/>
        </w:rPr>
        <w:tab/>
      </w:r>
      <w:r>
        <w:rPr>
          <w:color w:val="000000"/>
        </w:rPr>
        <w:t xml:space="preserve">B. </w:t>
      </w:r>
      <w:r>
        <w:rPr>
          <w:rFonts w:ascii="宋体" w:hAnsi="宋体" w:eastAsia="宋体" w:cs="宋体"/>
          <w:color w:val="000000"/>
        </w:rPr>
        <w:t>岩溶作用较弱</w:t>
      </w:r>
      <w:r>
        <w:rPr>
          <w:color w:val="000000"/>
        </w:rPr>
        <w:tab/>
      </w:r>
      <w:r>
        <w:rPr>
          <w:color w:val="000000"/>
        </w:rPr>
        <w:t xml:space="preserve">C. </w:t>
      </w:r>
      <w:r>
        <w:rPr>
          <w:rFonts w:ascii="宋体" w:hAnsi="宋体" w:eastAsia="宋体" w:cs="宋体"/>
          <w:color w:val="000000"/>
        </w:rPr>
        <w:t>汇水量较大</w:t>
      </w:r>
      <w:r>
        <w:rPr>
          <w:color w:val="000000"/>
        </w:rPr>
        <w:tab/>
      </w:r>
      <w:r>
        <w:rPr>
          <w:color w:val="000000"/>
        </w:rPr>
        <w:t xml:space="preserve">D. </w:t>
      </w:r>
      <w:r>
        <w:rPr>
          <w:rFonts w:ascii="宋体" w:hAnsi="宋体" w:eastAsia="宋体" w:cs="宋体"/>
          <w:color w:val="000000"/>
        </w:rPr>
        <w:t>植被生产量较高</w:t>
      </w:r>
    </w:p>
    <w:p>
      <w:pPr>
        <w:spacing w:line="360" w:lineRule="auto"/>
        <w:jc w:val="left"/>
        <w:textAlignment w:val="center"/>
        <w:rPr>
          <w:color w:val="000000"/>
        </w:rPr>
      </w:pPr>
      <w:r>
        <w:rPr>
          <w:color w:val="000000"/>
        </w:rPr>
        <w:t xml:space="preserve">13. </w:t>
      </w:r>
      <w:r>
        <w:rPr>
          <w:rFonts w:ascii="宋体" w:hAnsi="宋体" w:eastAsia="宋体" w:cs="宋体"/>
          <w:color w:val="000000"/>
        </w:rPr>
        <w:t>乙处土壤剖面信息反映该地气候曾发生多次干湿交替，推测该地出现的干燥期最少为（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w:t>
      </w:r>
      <w:r>
        <w:rPr>
          <w:rFonts w:ascii="宋体" w:hAnsi="宋体" w:eastAsia="宋体" w:cs="宋体"/>
          <w:color w:val="000000"/>
        </w:rPr>
        <w:t>次</w:t>
      </w:r>
      <w:r>
        <w:rPr>
          <w:color w:val="000000"/>
        </w:rPr>
        <w:tab/>
      </w:r>
      <w:r>
        <w:rPr>
          <w:color w:val="000000"/>
        </w:rPr>
        <w:t xml:space="preserve">B. </w:t>
      </w:r>
      <w:r>
        <w:rPr>
          <w:rFonts w:ascii="Times New Roman" w:hAnsi="Times New Roman" w:eastAsia="Times New Roman" w:cs="Times New Roman"/>
          <w:color w:val="000000"/>
        </w:rPr>
        <w:t>4</w:t>
      </w:r>
      <w:r>
        <w:rPr>
          <w:rFonts w:ascii="宋体" w:hAnsi="宋体" w:eastAsia="宋体" w:cs="宋体"/>
          <w:color w:val="000000"/>
        </w:rPr>
        <w:t>次</w:t>
      </w:r>
      <w:r>
        <w:rPr>
          <w:color w:val="000000"/>
        </w:rPr>
        <w:tab/>
      </w:r>
      <w:r>
        <w:rPr>
          <w:color w:val="000000"/>
        </w:rPr>
        <w:t xml:space="preserve">C. </w:t>
      </w:r>
      <w:r>
        <w:rPr>
          <w:rFonts w:ascii="Times New Roman" w:hAnsi="Times New Roman" w:eastAsia="Times New Roman" w:cs="Times New Roman"/>
          <w:color w:val="000000"/>
        </w:rPr>
        <w:t>3</w:t>
      </w:r>
      <w:r>
        <w:rPr>
          <w:rFonts w:ascii="宋体" w:hAnsi="宋体" w:eastAsia="宋体" w:cs="宋体"/>
          <w:color w:val="000000"/>
        </w:rPr>
        <w:t>次</w:t>
      </w:r>
      <w:r>
        <w:rPr>
          <w:color w:val="000000"/>
        </w:rPr>
        <w:tab/>
      </w:r>
      <w:r>
        <w:rPr>
          <w:color w:val="000000"/>
        </w:rPr>
        <w:t xml:space="preserve">D. </w:t>
      </w:r>
      <w:r>
        <w:rPr>
          <w:rFonts w:ascii="Times New Roman" w:hAnsi="Times New Roman" w:eastAsia="Times New Roman" w:cs="Times New Roman"/>
          <w:color w:val="000000"/>
        </w:rPr>
        <w:t>2</w:t>
      </w:r>
      <w:r>
        <w:rPr>
          <w:rFonts w:ascii="宋体" w:hAnsi="宋体" w:eastAsia="宋体" w:cs="宋体"/>
          <w:color w:val="000000"/>
        </w:rPr>
        <w:t>次</w:t>
      </w:r>
    </w:p>
    <w:p>
      <w:pPr>
        <w:spacing w:line="360" w:lineRule="auto"/>
        <w:ind w:firstLine="420"/>
        <w:jc w:val="left"/>
        <w:textAlignment w:val="center"/>
        <w:rPr>
          <w:color w:val="000000"/>
        </w:rPr>
      </w:pPr>
      <w:r>
        <w:rPr>
          <w:rFonts w:ascii="楷体" w:hAnsi="楷体" w:eastAsia="楷体" w:cs="楷体"/>
          <w:color w:val="000000"/>
        </w:rPr>
        <w:t>家住山东省某地的小明，在课外书中看到利用</w:t>
      </w:r>
      <w:r>
        <w:rPr>
          <w:rFonts w:ascii="宋体" w:hAnsi="宋体" w:eastAsia="宋体" w:cs="宋体"/>
          <w:color w:val="000000"/>
        </w:rPr>
        <w:t>“</w:t>
      </w:r>
      <w:r>
        <w:rPr>
          <w:rFonts w:ascii="楷体" w:hAnsi="楷体" w:eastAsia="楷体" w:cs="楷体"/>
          <w:color w:val="000000"/>
        </w:rPr>
        <w:t>等影</w:t>
      </w:r>
      <w:r>
        <w:rPr>
          <w:rFonts w:ascii="宋体" w:hAnsi="宋体" w:eastAsia="宋体" w:cs="宋体"/>
          <w:color w:val="000000"/>
        </w:rPr>
        <w:t>”</w:t>
      </w:r>
      <w:r>
        <w:rPr>
          <w:rFonts w:ascii="楷体" w:hAnsi="楷体" w:eastAsia="楷体" w:cs="楷体"/>
          <w:color w:val="000000"/>
        </w:rPr>
        <w:t>法测定本地子午线的介绍（下图）。小明对</w:t>
      </w:r>
      <w:r>
        <w:rPr>
          <w:rFonts w:ascii="宋体" w:hAnsi="宋体" w:eastAsia="宋体" w:cs="宋体"/>
          <w:color w:val="000000"/>
        </w:rPr>
        <w:t>“</w:t>
      </w:r>
      <w:r>
        <w:rPr>
          <w:rFonts w:ascii="楷体" w:hAnsi="楷体" w:eastAsia="楷体" w:cs="楷体"/>
          <w:color w:val="000000"/>
        </w:rPr>
        <w:t>等影</w:t>
      </w:r>
      <w:r>
        <w:rPr>
          <w:rFonts w:ascii="宋体" w:hAnsi="宋体" w:eastAsia="宋体" w:cs="宋体"/>
          <w:color w:val="000000"/>
        </w:rPr>
        <w:t>”</w:t>
      </w:r>
      <w:r>
        <w:rPr>
          <w:rFonts w:ascii="楷体" w:hAnsi="楷体" w:eastAsia="楷体" w:cs="楷体"/>
          <w:color w:val="000000"/>
        </w:rPr>
        <w:t>法进行了系列探究。据此完成下面小题。</w:t>
      </w:r>
    </w:p>
    <w:p>
      <w:pPr>
        <w:spacing w:line="360" w:lineRule="auto"/>
        <w:jc w:val="left"/>
        <w:textAlignment w:val="center"/>
        <w:rPr>
          <w:color w:val="000000"/>
        </w:rPr>
      </w:pPr>
      <w:r>
        <w:rPr>
          <w:color w:val="000000"/>
        </w:rPr>
        <w:drawing>
          <wp:inline distT="0" distB="0" distL="114300" distR="114300">
            <wp:extent cx="3400425" cy="1771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00425" cy="1771650"/>
                    </a:xfrm>
                    <a:prstGeom prst="rect">
                      <a:avLst/>
                    </a:prstGeom>
                  </pic:spPr>
                </pic:pic>
              </a:graphicData>
            </a:graphic>
          </wp:inline>
        </w:drawing>
      </w:r>
    </w:p>
    <w:p>
      <w:pPr>
        <w:spacing w:line="360" w:lineRule="auto"/>
        <w:jc w:val="left"/>
        <w:textAlignment w:val="center"/>
        <w:rPr>
          <w:color w:val="000000"/>
        </w:rPr>
      </w:pPr>
      <w:r>
        <w:rPr>
          <w:color w:val="000000"/>
        </w:rPr>
        <w:t xml:space="preserve">14. </w:t>
      </w:r>
      <w:r>
        <w:rPr>
          <w:rFonts w:ascii="宋体" w:hAnsi="宋体" w:eastAsia="宋体" w:cs="宋体"/>
          <w:color w:val="000000"/>
        </w:rPr>
        <w:t>下列操作中，会导致小明测定本地子午线的结果出现偏差的是（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未绘制半径为</w:t>
      </w:r>
      <w:r>
        <w:rPr>
          <w:rFonts w:ascii="Times New Roman" w:hAnsi="Times New Roman" w:eastAsia="Times New Roman" w:cs="Times New Roman"/>
          <w:color w:val="000000"/>
        </w:rPr>
        <w:t>50cm</w:t>
      </w:r>
      <w:r>
        <w:rPr>
          <w:rFonts w:ascii="宋体" w:hAnsi="宋体" w:eastAsia="宋体" w:cs="宋体"/>
          <w:color w:val="000000"/>
        </w:rPr>
        <w:t>的圆</w:t>
      </w:r>
      <w:r>
        <w:rPr>
          <w:color w:val="000000"/>
        </w:rPr>
        <w:tab/>
      </w:r>
      <w:r>
        <w:rPr>
          <w:color w:val="000000"/>
        </w:rPr>
        <w:t xml:space="preserve">B. </w:t>
      </w:r>
      <w:r>
        <w:rPr>
          <w:rFonts w:ascii="宋体" w:hAnsi="宋体" w:eastAsia="宋体" w:cs="宋体"/>
          <w:color w:val="000000"/>
        </w:rPr>
        <w:t>使用</w:t>
      </w:r>
      <w:r>
        <w:rPr>
          <w:rFonts w:ascii="Times New Roman" w:hAnsi="Times New Roman" w:eastAsia="Times New Roman" w:cs="Times New Roman"/>
          <w:color w:val="000000"/>
        </w:rPr>
        <w:t>60cm</w:t>
      </w:r>
      <w:r>
        <w:rPr>
          <w:rFonts w:ascii="宋体" w:hAnsi="宋体" w:eastAsia="宋体" w:cs="宋体"/>
          <w:color w:val="000000"/>
        </w:rPr>
        <w:t>长的立杆</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将每个同心圆的半径增加</w:t>
      </w:r>
      <w:r>
        <w:rPr>
          <w:rFonts w:ascii="Times New Roman" w:hAnsi="Times New Roman" w:eastAsia="Times New Roman" w:cs="Times New Roman"/>
          <w:color w:val="000000"/>
        </w:rPr>
        <w:t>5cm</w:t>
      </w:r>
      <w:r>
        <w:rPr>
          <w:color w:val="000000"/>
        </w:rPr>
        <w:tab/>
      </w:r>
      <w:r>
        <w:rPr>
          <w:color w:val="000000"/>
        </w:rPr>
        <w:t xml:space="preserve">D. </w:t>
      </w:r>
      <w:r>
        <w:rPr>
          <w:rFonts w:ascii="宋体" w:hAnsi="宋体" w:eastAsia="宋体" w:cs="宋体"/>
          <w:color w:val="000000"/>
        </w:rPr>
        <w:t>将立杆向日出方向倾斜</w:t>
      </w:r>
      <w:r>
        <w:rPr>
          <w:rFonts w:ascii="Times New Roman" w:hAnsi="Times New Roman" w:eastAsia="Times New Roman" w:cs="Times New Roman"/>
          <w:color w:val="000000"/>
        </w:rPr>
        <w:t>10°</w:t>
      </w:r>
    </w:p>
    <w:p>
      <w:pPr>
        <w:spacing w:line="360" w:lineRule="auto"/>
        <w:jc w:val="left"/>
        <w:textAlignment w:val="center"/>
        <w:rPr>
          <w:color w:val="000000"/>
        </w:rPr>
      </w:pPr>
      <w:r>
        <w:rPr>
          <w:color w:val="000000"/>
        </w:rPr>
        <w:t xml:space="preserve">15. </w:t>
      </w:r>
      <w:r>
        <w:rPr>
          <w:rFonts w:ascii="宋体" w:hAnsi="宋体" w:eastAsia="宋体" w:cs="宋体"/>
          <w:color w:val="000000"/>
        </w:rPr>
        <w:t>小明利用“等影”法准确地绘制了当地二至日的立杆影尖轨迹。他绘制的影尖轨迹图是（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5191125" cy="14001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191125" cy="140017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A</w:t>
      </w:r>
      <w:r>
        <w:rPr>
          <w:color w:val="000000"/>
        </w:rPr>
        <w:tab/>
      </w:r>
      <w:r>
        <w:rPr>
          <w:color w:val="000000"/>
        </w:rPr>
        <w:t xml:space="preserve">B. </w:t>
      </w:r>
      <w:r>
        <w:rPr>
          <w:rFonts w:ascii="宋体" w:hAnsi="宋体" w:eastAsia="宋体" w:cs="宋体"/>
          <w:color w:val="000000"/>
        </w:rPr>
        <w:t>B</w:t>
      </w:r>
      <w:r>
        <w:rPr>
          <w:color w:val="000000"/>
        </w:rPr>
        <w:tab/>
      </w:r>
      <w:r>
        <w:rPr>
          <w:color w:val="000000"/>
        </w:rPr>
        <w:t xml:space="preserve">C. </w:t>
      </w:r>
      <w:r>
        <w:rPr>
          <w:rFonts w:ascii="宋体" w:hAnsi="宋体" w:eastAsia="宋体" w:cs="宋体"/>
          <w:color w:val="000000"/>
        </w:rPr>
        <w:t>C</w:t>
      </w:r>
      <w:r>
        <w:rPr>
          <w:color w:val="000000"/>
        </w:rPr>
        <w:tab/>
      </w:r>
      <w:r>
        <w:rPr>
          <w:color w:val="000000"/>
        </w:rPr>
        <w:t xml:space="preserve">D. </w:t>
      </w:r>
      <w:r>
        <w:rPr>
          <w:rFonts w:ascii="宋体" w:hAnsi="宋体" w:eastAsia="宋体" w:cs="宋体"/>
          <w:color w:val="000000"/>
        </w:rPr>
        <w:t>D</w:t>
      </w:r>
    </w:p>
    <w:p>
      <w:pPr>
        <w:spacing w:line="360"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pPr>
        <w:spacing w:line="360" w:lineRule="auto"/>
        <w:jc w:val="left"/>
        <w:textAlignment w:val="center"/>
        <w:rPr>
          <w:color w:val="000000"/>
        </w:rPr>
      </w:pPr>
      <w:r>
        <w:rPr>
          <w:color w:val="000000"/>
        </w:rPr>
        <w:t xml:space="preserve">16. </w:t>
      </w:r>
      <w:r>
        <w:rPr>
          <w:rFonts w:ascii="宋体" w:hAnsi="宋体" w:eastAsia="宋体" w:cs="宋体"/>
          <w:color w:val="000000"/>
        </w:rPr>
        <w:t>阅读材料，完成下列要求。</w:t>
      </w:r>
    </w:p>
    <w:p>
      <w:pPr>
        <w:spacing w:line="360" w:lineRule="auto"/>
        <w:ind w:firstLine="420"/>
        <w:jc w:val="left"/>
        <w:textAlignment w:val="center"/>
        <w:rPr>
          <w:color w:val="000000"/>
        </w:rPr>
      </w:pPr>
      <w:r>
        <w:rPr>
          <w:rFonts w:ascii="楷体" w:hAnsi="楷体" w:eastAsia="楷体" w:cs="楷体"/>
          <w:color w:val="000000"/>
        </w:rPr>
        <w:t>美国麦迪逊河某段河谷发育有多条断层。</w:t>
      </w:r>
      <w:r>
        <w:rPr>
          <w:rFonts w:ascii="Times New Roman" w:hAnsi="Times New Roman" w:eastAsia="Times New Roman" w:cs="Times New Roman"/>
          <w:color w:val="000000"/>
        </w:rPr>
        <w:t>1959</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月</w:t>
      </w:r>
      <w:r>
        <w:rPr>
          <w:rFonts w:ascii="Times New Roman" w:hAnsi="Times New Roman" w:eastAsia="Times New Roman" w:cs="Times New Roman"/>
          <w:color w:val="000000"/>
        </w:rPr>
        <w:t>17</w:t>
      </w:r>
      <w:r>
        <w:rPr>
          <w:rFonts w:ascii="楷体" w:hAnsi="楷体" w:eastAsia="楷体" w:cs="楷体"/>
          <w:color w:val="000000"/>
        </w:rPr>
        <w:t>日，该段河谷所在区域发生了</w:t>
      </w:r>
      <w:r>
        <w:rPr>
          <w:rFonts w:ascii="Times New Roman" w:hAnsi="Times New Roman" w:eastAsia="Times New Roman" w:cs="Times New Roman"/>
          <w:color w:val="000000"/>
        </w:rPr>
        <w:t>7.3</w:t>
      </w:r>
      <w:r>
        <w:rPr>
          <w:rFonts w:ascii="楷体" w:hAnsi="楷体" w:eastAsia="楷体" w:cs="楷体"/>
          <w:color w:val="000000"/>
        </w:rPr>
        <w:t>级地震，诱发了该段河谷某处规模巨大的山体滑坡。下图示意该次滑坡发生前后的河谷形态。</w:t>
      </w:r>
    </w:p>
    <w:p>
      <w:pPr>
        <w:spacing w:line="360" w:lineRule="auto"/>
        <w:jc w:val="left"/>
        <w:textAlignment w:val="center"/>
        <w:rPr>
          <w:color w:val="000000"/>
        </w:rPr>
      </w:pPr>
      <w:r>
        <w:rPr>
          <w:color w:val="000000"/>
        </w:rPr>
        <w:drawing>
          <wp:inline distT="0" distB="0" distL="114300" distR="114300">
            <wp:extent cx="3914775" cy="24288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14775" cy="24288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推测滑坡发生前该处河谷南侧山坡上存在较厚风化物的主要原因。</w:t>
      </w:r>
    </w:p>
    <w:p>
      <w:pPr>
        <w:spacing w:line="360" w:lineRule="auto"/>
        <w:jc w:val="left"/>
        <w:textAlignment w:val="center"/>
        <w:rPr>
          <w:color w:val="000000"/>
        </w:rPr>
      </w:pPr>
      <w:r>
        <w:rPr>
          <w:color w:val="000000"/>
        </w:rPr>
        <w:t>（2）</w:t>
      </w:r>
      <w:r>
        <w:rPr>
          <w:rFonts w:ascii="宋体" w:hAnsi="宋体" w:eastAsia="宋体" w:cs="宋体"/>
          <w:color w:val="000000"/>
        </w:rPr>
        <w:t>分析该处河谷发生规模巨大的山体滑坡的主要原因。</w:t>
      </w:r>
    </w:p>
    <w:p>
      <w:pPr>
        <w:spacing w:line="360" w:lineRule="auto"/>
        <w:jc w:val="left"/>
        <w:textAlignment w:val="center"/>
        <w:rPr>
          <w:color w:val="000000"/>
        </w:rPr>
      </w:pPr>
      <w:r>
        <w:rPr>
          <w:color w:val="000000"/>
        </w:rPr>
        <w:t xml:space="preserve">17. </w:t>
      </w:r>
      <w:r>
        <w:rPr>
          <w:rFonts w:ascii="宋体" w:hAnsi="宋体" w:eastAsia="宋体" w:cs="宋体"/>
          <w:color w:val="000000"/>
        </w:rPr>
        <w:t>阅读材料，完成下列要求。</w:t>
      </w:r>
    </w:p>
    <w:p>
      <w:pPr>
        <w:spacing w:line="360" w:lineRule="auto"/>
        <w:ind w:firstLine="420"/>
        <w:jc w:val="left"/>
        <w:textAlignment w:val="center"/>
        <w:rPr>
          <w:color w:val="000000"/>
        </w:rPr>
      </w:pPr>
      <w:r>
        <w:rPr>
          <w:rFonts w:ascii="楷体" w:hAnsi="楷体" w:eastAsia="楷体" w:cs="楷体"/>
          <w:color w:val="000000"/>
        </w:rPr>
        <w:t>五金配件产业是广东省陆丰市</w:t>
      </w:r>
      <w:r>
        <w:rPr>
          <w:rFonts w:ascii="宋体" w:hAnsi="宋体" w:eastAsia="宋体" w:cs="宋体"/>
          <w:color w:val="000000"/>
        </w:rPr>
        <w:t>“</w:t>
      </w:r>
      <w:r>
        <w:rPr>
          <w:rFonts w:ascii="楷体" w:hAnsi="楷体" w:eastAsia="楷体" w:cs="楷体"/>
          <w:color w:val="000000"/>
        </w:rPr>
        <w:t>三甲</w:t>
      </w:r>
      <w:r>
        <w:rPr>
          <w:rFonts w:ascii="宋体" w:hAnsi="宋体" w:eastAsia="宋体" w:cs="宋体"/>
          <w:color w:val="000000"/>
        </w:rPr>
        <w:t>”</w:t>
      </w:r>
      <w:r>
        <w:rPr>
          <w:rFonts w:ascii="楷体" w:hAnsi="楷体" w:eastAsia="楷体" w:cs="楷体"/>
          <w:color w:val="000000"/>
        </w:rPr>
        <w:t>地区（甲子镇、甲东镇、甲西镇）的支柱产业。然而，长期以来，当地五金配件企业多从事中低端产品加工，清洁生产水平不高，且生产过程中技术要求高的电镀表面处理环节需要委托距离较远的外地企业完成。</w:t>
      </w:r>
    </w:p>
    <w:p>
      <w:pPr>
        <w:spacing w:line="360" w:lineRule="auto"/>
        <w:ind w:firstLine="420"/>
        <w:jc w:val="left"/>
        <w:textAlignment w:val="center"/>
        <w:rPr>
          <w:color w:val="000000"/>
        </w:rPr>
      </w:pPr>
      <w:r>
        <w:rPr>
          <w:rFonts w:ascii="楷体" w:hAnsi="楷体" w:eastAsia="楷体" w:cs="楷体"/>
          <w:color w:val="000000"/>
        </w:rPr>
        <w:t>近年来，陆丰市在</w:t>
      </w:r>
      <w:r>
        <w:rPr>
          <w:rFonts w:ascii="宋体" w:hAnsi="宋体" w:eastAsia="宋体" w:cs="宋体"/>
          <w:color w:val="000000"/>
        </w:rPr>
        <w:t>“</w:t>
      </w:r>
      <w:r>
        <w:rPr>
          <w:rFonts w:ascii="楷体" w:hAnsi="楷体" w:eastAsia="楷体" w:cs="楷体"/>
          <w:color w:val="000000"/>
        </w:rPr>
        <w:t>三甲</w:t>
      </w:r>
      <w:r>
        <w:rPr>
          <w:rFonts w:ascii="宋体" w:hAnsi="宋体" w:eastAsia="宋体" w:cs="宋体"/>
          <w:color w:val="000000"/>
        </w:rPr>
        <w:t>”</w:t>
      </w:r>
      <w:r>
        <w:rPr>
          <w:rFonts w:ascii="楷体" w:hAnsi="楷体" w:eastAsia="楷体" w:cs="楷体"/>
          <w:color w:val="000000"/>
        </w:rPr>
        <w:t>地区建设了</w:t>
      </w:r>
      <w:r>
        <w:rPr>
          <w:rFonts w:ascii="宋体" w:hAnsi="宋体" w:eastAsia="宋体" w:cs="宋体"/>
          <w:color w:val="000000"/>
        </w:rPr>
        <w:t>“</w:t>
      </w:r>
      <w:r>
        <w:rPr>
          <w:rFonts w:ascii="楷体" w:hAnsi="楷体" w:eastAsia="楷体" w:cs="楷体"/>
          <w:color w:val="000000"/>
        </w:rPr>
        <w:t>陆丰市五金配件产业园</w:t>
      </w:r>
      <w:r>
        <w:rPr>
          <w:rFonts w:ascii="宋体" w:hAnsi="宋体" w:eastAsia="宋体" w:cs="宋体"/>
          <w:color w:val="000000"/>
        </w:rPr>
        <w:t>”</w:t>
      </w:r>
      <w:r>
        <w:rPr>
          <w:rFonts w:ascii="楷体" w:hAnsi="楷体" w:eastAsia="楷体" w:cs="楷体"/>
          <w:color w:val="000000"/>
        </w:rPr>
        <w:t>。产业园内规划建设了研发基地、金属加工制造基地、电镀表面处理基地、危废处理基地等。其中，电镀表面处理基地建有大型电镀厂，降低了当地五金配件企业对外地电镀企业的依赖。产业园规定了严格的入驻企业能耗标准，并要求电镀企业执行国家清洁生产最高标准；推进入园的当地企业购置先进生产设备，引进自动化生产线；积极吸引与五金配件产业密切相关的智能家具等高端制造企业入驻园区。截至目前，已有包括新材料等高端制造企业在内的</w:t>
      </w:r>
      <w:r>
        <w:rPr>
          <w:rFonts w:ascii="Times New Roman" w:hAnsi="Times New Roman" w:eastAsia="Times New Roman" w:cs="Times New Roman"/>
          <w:color w:val="000000"/>
        </w:rPr>
        <w:t>30</w:t>
      </w:r>
      <w:r>
        <w:rPr>
          <w:rFonts w:ascii="楷体" w:hAnsi="楷体" w:eastAsia="楷体" w:cs="楷体"/>
          <w:color w:val="000000"/>
        </w:rPr>
        <w:t>多家企业签约入驻。</w:t>
      </w:r>
    </w:p>
    <w:p>
      <w:pPr>
        <w:spacing w:line="360" w:lineRule="auto"/>
        <w:jc w:val="left"/>
        <w:textAlignment w:val="center"/>
        <w:rPr>
          <w:color w:val="000000"/>
        </w:rPr>
      </w:pPr>
      <w:r>
        <w:rPr>
          <w:color w:val="000000"/>
        </w:rPr>
        <w:t>（1）</w:t>
      </w:r>
      <w:r>
        <w:rPr>
          <w:rFonts w:ascii="宋体" w:hAnsi="宋体" w:eastAsia="宋体" w:cs="宋体"/>
          <w:color w:val="000000"/>
        </w:rPr>
        <w:t>说明在“三甲”地区建设大型电镀厂对当地五金配件企业发展的意义。</w:t>
      </w:r>
    </w:p>
    <w:p>
      <w:pPr>
        <w:spacing w:line="360" w:lineRule="auto"/>
        <w:jc w:val="left"/>
        <w:textAlignment w:val="center"/>
        <w:rPr>
          <w:color w:val="000000"/>
        </w:rPr>
      </w:pPr>
      <w:r>
        <w:rPr>
          <w:color w:val="000000"/>
        </w:rPr>
        <w:t>（2）</w:t>
      </w:r>
      <w:r>
        <w:rPr>
          <w:rFonts w:ascii="宋体" w:hAnsi="宋体" w:eastAsia="宋体" w:cs="宋体"/>
          <w:color w:val="000000"/>
        </w:rPr>
        <w:t>分析产业园建设对当地五金配件产业升级的促进作用。</w:t>
      </w:r>
    </w:p>
    <w:p>
      <w:pPr>
        <w:spacing w:line="360" w:lineRule="auto"/>
        <w:jc w:val="left"/>
        <w:textAlignment w:val="center"/>
        <w:rPr>
          <w:color w:val="000000"/>
        </w:rPr>
      </w:pPr>
      <w:r>
        <w:rPr>
          <w:color w:val="000000"/>
        </w:rPr>
        <w:t xml:space="preserve">18. </w:t>
      </w:r>
      <w:r>
        <w:rPr>
          <w:rFonts w:ascii="宋体" w:hAnsi="宋体" w:eastAsia="宋体" w:cs="宋体"/>
          <w:color w:val="000000"/>
        </w:rPr>
        <w:t>阅读材料，完成下列要求。</w:t>
      </w:r>
    </w:p>
    <w:p>
      <w:pPr>
        <w:spacing w:line="360" w:lineRule="auto"/>
        <w:ind w:firstLine="420"/>
        <w:jc w:val="left"/>
        <w:textAlignment w:val="center"/>
        <w:rPr>
          <w:color w:val="000000"/>
        </w:rPr>
      </w:pPr>
      <w:r>
        <w:rPr>
          <w:rFonts w:ascii="楷体" w:hAnsi="楷体" w:eastAsia="楷体" w:cs="楷体"/>
          <w:color w:val="000000"/>
        </w:rPr>
        <w:t>下图示意日本爱媛县肱川流域局部。观测发现，秋冬季节晴朗的夜间至清晨，常会有形成于大洲盆地的雾，被不断加强的风沿着肱川河谷吹向河口，这种出现在大洲盆地至肱川河口段的大雾伴风的天气现象，被称为</w:t>
      </w:r>
      <w:r>
        <w:rPr>
          <w:rFonts w:ascii="宋体" w:hAnsi="宋体" w:eastAsia="宋体" w:cs="宋体"/>
          <w:color w:val="000000"/>
        </w:rPr>
        <w:t>“</w:t>
      </w:r>
      <w:r>
        <w:rPr>
          <w:rFonts w:ascii="楷体" w:hAnsi="楷体" w:eastAsia="楷体" w:cs="楷体"/>
          <w:color w:val="000000"/>
        </w:rPr>
        <w:t>肱川岚</w:t>
      </w:r>
      <w:r>
        <w:rPr>
          <w:rFonts w:ascii="宋体" w:hAnsi="宋体" w:eastAsia="宋体" w:cs="宋体"/>
          <w:color w:val="000000"/>
        </w:rPr>
        <w:t>”</w:t>
      </w:r>
      <w:r>
        <w:rPr>
          <w:rFonts w:ascii="楷体" w:hAnsi="楷体" w:eastAsia="楷体" w:cs="楷体"/>
          <w:color w:val="000000"/>
        </w:rPr>
        <w:t>。</w:t>
      </w:r>
    </w:p>
    <w:p>
      <w:pPr>
        <w:spacing w:line="360" w:lineRule="auto"/>
        <w:jc w:val="left"/>
        <w:textAlignment w:val="center"/>
        <w:rPr>
          <w:color w:val="000000"/>
        </w:rPr>
      </w:pPr>
      <w:r>
        <w:rPr>
          <w:color w:val="000000"/>
        </w:rPr>
        <w:drawing>
          <wp:inline distT="0" distB="0" distL="114300" distR="114300">
            <wp:extent cx="2943225" cy="25527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43225" cy="255270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“肱川岚”发生时，肱川河谷近河口处会出现强风。说明强风的形成过程。</w:t>
      </w:r>
    </w:p>
    <w:p>
      <w:pPr>
        <w:spacing w:line="360" w:lineRule="auto"/>
        <w:jc w:val="left"/>
        <w:textAlignment w:val="center"/>
        <w:rPr>
          <w:color w:val="000000"/>
        </w:rPr>
      </w:pPr>
      <w:r>
        <w:rPr>
          <w:color w:val="000000"/>
        </w:rPr>
        <w:t>（2）</w:t>
      </w:r>
      <w:r>
        <w:rPr>
          <w:rFonts w:ascii="宋体" w:hAnsi="宋体" w:eastAsia="宋体" w:cs="宋体"/>
          <w:color w:val="000000"/>
        </w:rPr>
        <w:t>在“肱川岚”冲出河口后，强风带来的雾的下方海面上常会形成“下层雾”。上下两层雾构成呈扇形分布的“双层雾”景观。说明下层雾的形成过程。</w:t>
      </w:r>
    </w:p>
    <w:p>
      <w:pPr>
        <w:spacing w:line="360" w:lineRule="auto"/>
        <w:jc w:val="left"/>
        <w:textAlignment w:val="center"/>
        <w:rPr>
          <w:color w:val="000000"/>
        </w:rPr>
      </w:pPr>
      <w:r>
        <w:rPr>
          <w:color w:val="000000"/>
        </w:rPr>
        <w:t xml:space="preserve">19. </w:t>
      </w:r>
      <w:r>
        <w:rPr>
          <w:rFonts w:ascii="宋体" w:hAnsi="宋体" w:eastAsia="宋体" w:cs="宋体"/>
          <w:color w:val="000000"/>
        </w:rPr>
        <w:t>阅读材料，完成下列要求。</w:t>
      </w:r>
    </w:p>
    <w:p>
      <w:pPr>
        <w:spacing w:line="360" w:lineRule="auto"/>
        <w:ind w:firstLine="420"/>
        <w:jc w:val="left"/>
        <w:textAlignment w:val="center"/>
        <w:rPr>
          <w:color w:val="000000"/>
        </w:rPr>
      </w:pPr>
      <w:r>
        <w:rPr>
          <w:rFonts w:ascii="楷体" w:hAnsi="楷体" w:eastAsia="楷体" w:cs="楷体"/>
          <w:color w:val="000000"/>
        </w:rPr>
        <w:t>斯凯恩河是丹麦流量最大的河流。</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60</w:t>
      </w:r>
      <w:r>
        <w:rPr>
          <w:rFonts w:ascii="楷体" w:hAnsi="楷体" w:eastAsia="楷体" w:cs="楷体"/>
          <w:color w:val="000000"/>
        </w:rPr>
        <w:t>年代，当地人通过裁弯取直、修建河堤等方式将该河下游蜿蜒的自然河道改造为顺直河道，并通过排水等措施将富含泥炭的沿河湿地开垦为农田（主要种植大麦和小麦）。由于农田持续沉降等原因，多年后大面积的开垦农田已不再适宜耕种。</w:t>
      </w:r>
    </w:p>
    <w:p>
      <w:pPr>
        <w:spacing w:line="360" w:lineRule="auto"/>
        <w:ind w:firstLine="420"/>
        <w:jc w:val="left"/>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90</w:t>
      </w:r>
      <w:r>
        <w:rPr>
          <w:rFonts w:ascii="楷体" w:hAnsi="楷体" w:eastAsia="楷体" w:cs="楷体"/>
          <w:color w:val="000000"/>
        </w:rPr>
        <w:t>年代，丹麦政府划定斯凯恩河下游修复区（下图），启动了包括退耕、恢复自然河道、拆除河堤等措施的河流生态修复工程。</w:t>
      </w:r>
    </w:p>
    <w:p>
      <w:pPr>
        <w:spacing w:line="360" w:lineRule="auto"/>
        <w:jc w:val="left"/>
        <w:textAlignment w:val="center"/>
        <w:rPr>
          <w:color w:val="000000"/>
        </w:rPr>
      </w:pPr>
      <w:r>
        <w:rPr>
          <w:color w:val="000000"/>
        </w:rPr>
        <w:drawing>
          <wp:inline distT="0" distB="0" distL="114300" distR="114300">
            <wp:extent cx="3629025" cy="13239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629025" cy="13239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推测开垦的农田沉降的主要原因。</w:t>
      </w:r>
    </w:p>
    <w:p>
      <w:pPr>
        <w:spacing w:line="360" w:lineRule="auto"/>
        <w:jc w:val="left"/>
        <w:textAlignment w:val="center"/>
        <w:rPr>
          <w:color w:val="000000"/>
        </w:rPr>
      </w:pPr>
      <w:r>
        <w:rPr>
          <w:color w:val="000000"/>
        </w:rPr>
        <w:t>（2）</w:t>
      </w:r>
      <w:r>
        <w:rPr>
          <w:rFonts w:ascii="宋体" w:hAnsi="宋体" w:eastAsia="宋体" w:cs="宋体"/>
          <w:color w:val="000000"/>
        </w:rPr>
        <w:t>斯凯恩河生态修复工程的目标之一，是降低灵克宾潟湖的富营养化程度。说明该修复工程是如何降低灵克宾潟湖富营养化程度的。</w:t>
      </w:r>
    </w:p>
    <w:p>
      <w:pPr>
        <w:spacing w:line="360" w:lineRule="auto"/>
        <w:jc w:val="left"/>
        <w:textAlignment w:val="center"/>
        <w:rPr>
          <w:color w:val="000000"/>
        </w:rPr>
      </w:pPr>
      <w:r>
        <w:rPr>
          <w:color w:val="000000"/>
        </w:rPr>
        <w:t>（3）</w:t>
      </w:r>
      <w:r>
        <w:rPr>
          <w:rFonts w:ascii="宋体" w:hAnsi="宋体" w:eastAsia="宋体" w:cs="宋体"/>
          <w:color w:val="000000"/>
        </w:rPr>
        <w:t>斯凯恩河生态修复工程启动后，部分农田排水泵站（下图）被关停，有专家提议将这些泵站拆除。你是否赞同该提议？从发展旅游业的角度表明你的态度，并说明理由。</w:t>
      </w:r>
    </w:p>
    <w:p>
      <w:pPr>
        <w:spacing w:line="360" w:lineRule="auto"/>
        <w:jc w:val="left"/>
        <w:textAlignment w:val="center"/>
        <w:rPr>
          <w:color w:val="000000"/>
        </w:rPr>
      </w:pPr>
      <w:r>
        <w:rPr>
          <w:color w:val="000000"/>
        </w:rPr>
        <w:drawing>
          <wp:inline distT="0" distB="0" distL="114300" distR="114300">
            <wp:extent cx="1971675" cy="11239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71675" cy="1123950"/>
                    </a:xfrm>
                    <a:prstGeom prst="rect">
                      <a:avLst/>
                    </a:prstGeom>
                  </pic:spPr>
                </pic:pic>
              </a:graphicData>
            </a:graphic>
          </wp:inline>
        </w:drawing>
      </w:r>
      <w:r>
        <w:rPr>
          <w:color w:val="000000"/>
        </w:rPr>
        <w:t xml:space="preserve">    </w:t>
      </w:r>
      <w:r>
        <w:rPr>
          <w:color w:val="000000"/>
        </w:rPr>
        <w:drawing>
          <wp:inline distT="0" distB="0" distL="114300" distR="114300">
            <wp:extent cx="1200150" cy="10953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00150" cy="1095375"/>
                    </a:xfrm>
                    <a:prstGeom prst="rect">
                      <a:avLst/>
                    </a:prstGeom>
                  </pic:spPr>
                </pic:pic>
              </a:graphicData>
            </a:graphic>
          </wp:inline>
        </w:drawing>
      </w:r>
    </w:p>
    <w:p>
      <w:pPr>
        <w:spacing w:line="360" w:lineRule="auto"/>
        <w:jc w:val="left"/>
        <w:textAlignment w:val="center"/>
        <w:rPr>
          <w:color w:val="000000"/>
        </w:rPr>
      </w:pPr>
    </w:p>
    <w:p>
      <w:pPr>
        <w:spacing w:line="360" w:lineRule="auto"/>
        <w:jc w:val="both"/>
        <w:textAlignment w:val="center"/>
        <w:rPr>
          <w:color w:val="000000"/>
        </w:rPr>
      </w:pPr>
      <w:r>
        <w:rPr>
          <w:color w:val="000000"/>
        </w:rPr>
        <w:br w:type="textWrapping"/>
      </w:r>
    </w:p>
    <w:p>
      <w:pPr>
        <w:spacing w:line="360" w:lineRule="auto"/>
        <w:jc w:val="both"/>
        <w:textAlignment w:val="center"/>
        <w:rPr>
          <w:color w:val="000000"/>
        </w:rPr>
      </w:pPr>
      <w:r>
        <w:rPr>
          <w:color w:val="000000"/>
        </w:rPr>
        <w:br w:type="page"/>
      </w:r>
    </w:p>
    <w:p>
      <w:pPr>
        <w:spacing w:line="360" w:lineRule="auto"/>
        <w:jc w:val="center"/>
        <w:textAlignment w:val="center"/>
        <w:rPr>
          <w:color w:val="000000"/>
        </w:rPr>
      </w:pPr>
      <w:r>
        <w:rPr>
          <w:rFonts w:ascii="Times New Roman" w:hAnsi="Times New Roman" w:eastAsia="Times New Roman" w:cs="Times New Roman"/>
          <w:b/>
          <w:color w:val="000000"/>
          <w:sz w:val="32"/>
        </w:rPr>
        <w:t>2026</w:t>
      </w:r>
      <w:r>
        <w:rPr>
          <w:rFonts w:ascii="宋体" w:hAnsi="宋体" w:eastAsia="宋体" w:cs="宋体"/>
          <w:b/>
          <w:color w:val="000000"/>
          <w:sz w:val="32"/>
        </w:rPr>
        <w:t>年普通高中学业水平等级考试（山东卷）</w:t>
      </w:r>
    </w:p>
    <w:p>
      <w:pPr>
        <w:spacing w:line="360" w:lineRule="auto"/>
        <w:jc w:val="center"/>
        <w:textAlignment w:val="center"/>
        <w:rPr>
          <w:color w:val="000000"/>
        </w:rPr>
      </w:pPr>
      <w:r>
        <w:rPr>
          <w:rFonts w:ascii="宋体" w:hAnsi="宋体" w:eastAsia="宋体" w:cs="宋体"/>
          <w:b/>
          <w:color w:val="000000"/>
          <w:sz w:val="32"/>
        </w:rPr>
        <w:t>地理</w:t>
      </w:r>
    </w:p>
    <w:p>
      <w:pPr>
        <w:spacing w:line="360" w:lineRule="auto"/>
        <w:jc w:val="center"/>
        <w:textAlignment w:val="center"/>
        <w:rPr>
          <w:color w:val="000000"/>
        </w:rPr>
      </w:pPr>
      <w:r>
        <w:rPr>
          <w:rFonts w:ascii="宋体" w:hAnsi="宋体" w:eastAsia="宋体" w:cs="宋体"/>
          <w:b/>
          <w:color w:val="000000"/>
          <w:sz w:val="24"/>
        </w:rPr>
        <w:t>本试卷满分</w:t>
      </w:r>
      <w:r>
        <w:rPr>
          <w:rFonts w:ascii="Times New Roman" w:hAnsi="Times New Roman" w:eastAsia="Times New Roman" w:cs="Times New Roman"/>
          <w:b/>
          <w:color w:val="000000"/>
          <w:sz w:val="24"/>
        </w:rPr>
        <w:t>100</w:t>
      </w:r>
      <w:r>
        <w:rPr>
          <w:rFonts w:ascii="宋体" w:hAnsi="宋体" w:eastAsia="宋体" w:cs="宋体"/>
          <w:b/>
          <w:color w:val="000000"/>
          <w:sz w:val="24"/>
        </w:rPr>
        <w:t>分，考试时间</w:t>
      </w:r>
      <w:r>
        <w:rPr>
          <w:rFonts w:ascii="Times New Roman" w:hAnsi="Times New Roman" w:eastAsia="Times New Roman" w:cs="Times New Roman"/>
          <w:b/>
          <w:color w:val="000000"/>
          <w:sz w:val="24"/>
        </w:rPr>
        <w:t>90</w:t>
      </w:r>
      <w:r>
        <w:rPr>
          <w:rFonts w:ascii="宋体" w:hAnsi="宋体" w:eastAsia="宋体" w:cs="宋体"/>
          <w:b/>
          <w:color w:val="000000"/>
          <w:sz w:val="24"/>
        </w:rPr>
        <w:t>分钟。</w:t>
      </w:r>
    </w:p>
    <w:p>
      <w:pPr>
        <w:spacing w:line="360" w:lineRule="auto"/>
        <w:jc w:val="left"/>
        <w:textAlignment w:val="center"/>
        <w:rPr>
          <w:color w:val="000000"/>
        </w:rPr>
      </w:pPr>
      <w:r>
        <w:rPr>
          <w:rFonts w:ascii="宋体" w:hAnsi="宋体" w:eastAsia="宋体" w:cs="宋体"/>
          <w:b/>
          <w:color w:val="000000"/>
          <w:sz w:val="24"/>
        </w:rPr>
        <w:t>一、选择题：本题共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45</w:t>
      </w:r>
      <w:r>
        <w:rPr>
          <w:rFonts w:ascii="宋体" w:hAnsi="宋体" w:eastAsia="宋体" w:cs="宋体"/>
          <w:b/>
          <w:color w:val="000000"/>
          <w:sz w:val="24"/>
        </w:rPr>
        <w:t>分。每小题只有一个选项符合题目要求。</w:t>
      </w:r>
    </w:p>
    <w:p>
      <w:pPr>
        <w:spacing w:line="360" w:lineRule="auto"/>
        <w:textAlignment w:val="center"/>
        <w:rPr>
          <w:color w:val="2E75B6"/>
        </w:rPr>
      </w:pPr>
      <w:r>
        <w:rPr>
          <w:color w:val="2E75B6"/>
        </w:rPr>
        <w:t>【1~3题答案】</w:t>
      </w:r>
    </w:p>
    <w:p>
      <w:pPr>
        <w:spacing w:line="360" w:lineRule="auto"/>
        <w:textAlignment w:val="center"/>
        <w:rPr>
          <w:color w:val="000000"/>
        </w:rPr>
      </w:pPr>
      <w:r>
        <w:rPr>
          <w:color w:val="2E75B6"/>
        </w:rPr>
        <w:t>【答案】</w:t>
      </w:r>
      <w:r>
        <w:rPr>
          <w:color w:val="000000"/>
        </w:rPr>
        <w:t>1. C    2. B    3. D</w:t>
      </w:r>
    </w:p>
    <w:p>
      <w:pPr>
        <w:spacing w:line="360" w:lineRule="auto"/>
        <w:textAlignment w:val="center"/>
        <w:rPr>
          <w:color w:val="2E75B6"/>
        </w:rPr>
      </w:pPr>
      <w:r>
        <w:rPr>
          <w:color w:val="2E75B6"/>
        </w:rPr>
        <w:t>【4~5题答案】</w:t>
      </w:r>
    </w:p>
    <w:p>
      <w:pPr>
        <w:spacing w:line="360" w:lineRule="auto"/>
        <w:textAlignment w:val="center"/>
        <w:rPr>
          <w:color w:val="000000"/>
        </w:rPr>
      </w:pPr>
      <w:r>
        <w:rPr>
          <w:color w:val="2E75B6"/>
        </w:rPr>
        <w:t>【答案】</w:t>
      </w:r>
      <w:r>
        <w:rPr>
          <w:color w:val="000000"/>
        </w:rPr>
        <w:t>4. D    5. C</w:t>
      </w:r>
    </w:p>
    <w:p>
      <w:pPr>
        <w:spacing w:line="360" w:lineRule="auto"/>
        <w:textAlignment w:val="center"/>
        <w:rPr>
          <w:color w:val="2E75B6"/>
        </w:rPr>
      </w:pPr>
      <w:r>
        <w:rPr>
          <w:color w:val="2E75B6"/>
        </w:rPr>
        <w:t>【6~8题答案】</w:t>
      </w:r>
    </w:p>
    <w:p>
      <w:pPr>
        <w:spacing w:line="360" w:lineRule="auto"/>
        <w:textAlignment w:val="center"/>
        <w:rPr>
          <w:color w:val="000000"/>
        </w:rPr>
      </w:pPr>
      <w:r>
        <w:rPr>
          <w:color w:val="2E75B6"/>
        </w:rPr>
        <w:t>【答案】</w:t>
      </w:r>
      <w:r>
        <w:rPr>
          <w:color w:val="000000"/>
        </w:rPr>
        <w:t>6. B    7. A    8. C</w:t>
      </w:r>
    </w:p>
    <w:p>
      <w:pPr>
        <w:spacing w:line="360" w:lineRule="auto"/>
        <w:textAlignment w:val="center"/>
        <w:rPr>
          <w:color w:val="2E75B6"/>
        </w:rPr>
      </w:pPr>
      <w:r>
        <w:rPr>
          <w:color w:val="2E75B6"/>
        </w:rPr>
        <w:t>【9~10题答案】</w:t>
      </w:r>
    </w:p>
    <w:p>
      <w:pPr>
        <w:spacing w:line="360" w:lineRule="auto"/>
        <w:textAlignment w:val="center"/>
        <w:rPr>
          <w:color w:val="000000"/>
        </w:rPr>
      </w:pPr>
      <w:r>
        <w:rPr>
          <w:color w:val="2E75B6"/>
        </w:rPr>
        <w:t>【答案】</w:t>
      </w:r>
      <w:r>
        <w:rPr>
          <w:color w:val="000000"/>
        </w:rPr>
        <w:t>9. A    10. B</w:t>
      </w:r>
    </w:p>
    <w:p>
      <w:pPr>
        <w:spacing w:line="360" w:lineRule="auto"/>
        <w:textAlignment w:val="center"/>
        <w:rPr>
          <w:color w:val="2E75B6"/>
        </w:rPr>
      </w:pPr>
      <w:r>
        <w:rPr>
          <w:color w:val="2E75B6"/>
        </w:rPr>
        <w:t>【11~13题答案】</w:t>
      </w:r>
    </w:p>
    <w:p>
      <w:pPr>
        <w:spacing w:line="360" w:lineRule="auto"/>
        <w:textAlignment w:val="center"/>
        <w:rPr>
          <w:color w:val="000000"/>
        </w:rPr>
      </w:pPr>
      <w:r>
        <w:rPr>
          <w:color w:val="2E75B6"/>
        </w:rPr>
        <w:t>【答案】</w:t>
      </w:r>
      <w:r>
        <w:rPr>
          <w:color w:val="000000"/>
        </w:rPr>
        <w:t>11. A    12. C    13. C</w:t>
      </w:r>
    </w:p>
    <w:p>
      <w:pPr>
        <w:spacing w:line="360" w:lineRule="auto"/>
        <w:textAlignment w:val="center"/>
        <w:rPr>
          <w:color w:val="2E75B6"/>
        </w:rPr>
      </w:pPr>
      <w:r>
        <w:rPr>
          <w:color w:val="2E75B6"/>
        </w:rPr>
        <w:t>【14~15题答案】</w:t>
      </w:r>
    </w:p>
    <w:p>
      <w:pPr>
        <w:spacing w:line="360" w:lineRule="auto"/>
        <w:textAlignment w:val="center"/>
        <w:rPr>
          <w:color w:val="000000"/>
        </w:rPr>
      </w:pPr>
      <w:r>
        <w:rPr>
          <w:color w:val="2E75B6"/>
        </w:rPr>
        <w:t>【答案】</w:t>
      </w:r>
      <w:r>
        <w:rPr>
          <w:color w:val="000000"/>
        </w:rPr>
        <w:t>14. D    15. A</w:t>
      </w:r>
    </w:p>
    <w:p>
      <w:pPr>
        <w:spacing w:line="360"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pPr>
        <w:spacing w:line="360" w:lineRule="auto"/>
        <w:textAlignment w:val="center"/>
        <w:rPr>
          <w:color w:val="2E75B6"/>
        </w:rPr>
      </w:pPr>
      <w:r>
        <w:rPr>
          <w:color w:val="2E75B6"/>
        </w:rPr>
        <w:t>【16题答案】</w:t>
      </w:r>
    </w:p>
    <w:p>
      <w:pPr>
        <w:spacing w:line="360" w:lineRule="auto"/>
        <w:textAlignment w:val="center"/>
        <w:rPr>
          <w:color w:val="000000"/>
        </w:rPr>
      </w:pPr>
      <w:r>
        <w:rPr>
          <w:color w:val="2E75B6"/>
        </w:rPr>
        <w:t>【答案】</w:t>
      </w:r>
      <w:r>
        <w:rPr>
          <w:color w:val="000000"/>
        </w:rPr>
        <w:t xml:space="preserve">（1）（片岩、片麻岩具有片理构造，）岩性相对软弱，易发生风化；断裂发育，岩石破碎程度高，岩体和水、空气的接触面积大；地处阴坡，水分条件好，植被较多，生物风化显著；板块内部，地壳相对稳定，风化物积累时间长。    </w:t>
      </w:r>
    </w:p>
    <w:p>
      <w:pPr>
        <w:spacing w:line="360" w:lineRule="auto"/>
        <w:textAlignment w:val="center"/>
        <w:rPr>
          <w:color w:val="000000"/>
        </w:rPr>
      </w:pPr>
      <w:r>
        <w:rPr>
          <w:color w:val="000000"/>
        </w:rPr>
        <w:t>（2）地震提供巨大能量，破坏岩体稳定性；风化物厚度大，为滑坡提供充足物源；断层附近岩体松散脆弱，稳定性差；（麦迪逊河长期的流水下切导致）山坡坡度较大，增加滑动的势能。</w:t>
      </w:r>
    </w:p>
    <w:p>
      <w:pPr>
        <w:spacing w:line="360" w:lineRule="auto"/>
        <w:textAlignment w:val="center"/>
        <w:rPr>
          <w:color w:val="2E75B6"/>
        </w:rPr>
      </w:pPr>
      <w:r>
        <w:rPr>
          <w:color w:val="2E75B6"/>
        </w:rPr>
        <w:t>【17题答案】</w:t>
      </w:r>
    </w:p>
    <w:p>
      <w:pPr>
        <w:spacing w:line="360" w:lineRule="auto"/>
        <w:textAlignment w:val="center"/>
        <w:rPr>
          <w:color w:val="000000"/>
        </w:rPr>
      </w:pPr>
      <w:r>
        <w:rPr>
          <w:color w:val="2E75B6"/>
        </w:rPr>
        <w:t>【答案】</w:t>
      </w:r>
      <w:r>
        <w:rPr>
          <w:color w:val="000000"/>
        </w:rPr>
        <w:t>（1）</w:t>
      </w:r>
    </w:p>
    <w:p>
      <w:pPr>
        <w:spacing w:line="360" w:lineRule="auto"/>
        <w:jc w:val="left"/>
        <w:textAlignment w:val="center"/>
        <w:rPr>
          <w:color w:val="000000"/>
        </w:rPr>
      </w:pPr>
      <w:r>
        <w:rPr>
          <w:color w:val="000000"/>
        </w:rPr>
        <w:t xml:space="preserve">降低电镀成本，提高经济效益；避免对外地企业的依赖，提高生产自主性；提高五金配件企业产能，扩大生产规模；本地完成电镀，节约时间，提高生产效率，增强五金配件企业产品竞争力。    </w:t>
      </w:r>
    </w:p>
    <w:p>
      <w:pPr>
        <w:spacing w:line="360" w:lineRule="auto"/>
        <w:jc w:val="left"/>
        <w:textAlignment w:val="center"/>
        <w:rPr>
          <w:color w:val="000000"/>
        </w:rPr>
      </w:pPr>
      <w:r>
        <w:rPr>
          <w:color w:val="000000"/>
        </w:rPr>
        <w:t>（2）</w:t>
      </w:r>
    </w:p>
    <w:p>
      <w:pPr>
        <w:spacing w:line="360" w:lineRule="auto"/>
        <w:jc w:val="left"/>
        <w:textAlignment w:val="center"/>
        <w:rPr>
          <w:color w:val="000000"/>
        </w:rPr>
      </w:pPr>
      <w:r>
        <w:rPr>
          <w:color w:val="000000"/>
        </w:rPr>
        <w:t>延长产业链，向研发等价值链高端环节迈进，集聚人才、投资、技术；带动传统五金产业改造，提高五金产品质量，助力承接高标准订单；自动化作业，降低劳动力等生产成本，向智能化转型；发展清洁生产，促进五金产业向低碳绿色方向升级。</w:t>
      </w:r>
    </w:p>
    <w:p>
      <w:pPr>
        <w:spacing w:line="360" w:lineRule="auto"/>
        <w:textAlignment w:val="center"/>
        <w:rPr>
          <w:color w:val="2E75B6"/>
        </w:rPr>
      </w:pPr>
      <w:r>
        <w:rPr>
          <w:color w:val="2E75B6"/>
        </w:rPr>
        <w:t>【18题答案】</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晴天云量小，夜晚大气逆辐射弱，地面辐射散热；山坡受地面影响大，降温快，冷空气下沉，堆积在大洲盆地，形成高压中心；海面降温慢，温度较高，形成低压，水平气压梯度力大；肱川河河谷走向与风向一致，狭管效应加大风速。</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海面热容量大，降温慢，水温较高，蒸发较强，海上低空水汽充足；强风将冷气团平流入海，加大垂直方向温差；水汽迅速遇冷，达到饱和凝结成雾（且受冷气团限制，成层状延展。）</w:t>
      </w:r>
    </w:p>
    <w:p>
      <w:pPr>
        <w:spacing w:line="360" w:lineRule="auto"/>
        <w:textAlignment w:val="center"/>
        <w:rPr>
          <w:color w:val="2E75B6"/>
        </w:rPr>
      </w:pPr>
      <w:r>
        <w:rPr>
          <w:color w:val="2E75B6"/>
        </w:rPr>
        <w:t>【19题答案】</w:t>
      </w:r>
    </w:p>
    <w:p>
      <w:pPr>
        <w:spacing w:line="360" w:lineRule="auto"/>
        <w:textAlignment w:val="center"/>
        <w:rPr>
          <w:color w:val="000000"/>
        </w:rPr>
      </w:pPr>
      <w:r>
        <w:rPr>
          <w:color w:val="2E75B6"/>
        </w:rPr>
        <w:t>【答案】</w:t>
      </w:r>
      <w:r>
        <w:rPr>
          <w:color w:val="000000"/>
        </w:rPr>
        <w:t xml:space="preserve">（1）排水工程导致土壤孔隙中的水分排空，孔隙度减小，土壤在自重下发生坍塌；地下水位下降，泥炭暴露在空气中，有机质发生氧化分解，土壤固体物质流失；农业机械的反复压实以及耕作对土壤结构的破坏，加速地面沉降。    </w:t>
      </w:r>
    </w:p>
    <w:p>
      <w:pPr>
        <w:spacing w:line="360" w:lineRule="auto"/>
        <w:textAlignment w:val="center"/>
        <w:rPr>
          <w:color w:val="000000"/>
        </w:rPr>
      </w:pPr>
      <w:r>
        <w:rPr>
          <w:color w:val="000000"/>
        </w:rPr>
        <w:t xml:space="preserve">（2）恢复弯道，河流比降减小，流速减慢，营养物质在河中沉淀、降解，入湖营养物质减少；拆除河堤，洪水自然漫滩，河漫滩湿地拦截营养物质；湿地植被恢复，根系吸收营养物质。    </w:t>
      </w:r>
    </w:p>
    <w:p>
      <w:pPr>
        <w:spacing w:line="360" w:lineRule="auto"/>
        <w:textAlignment w:val="center"/>
        <w:rPr>
          <w:color w:val="000000"/>
        </w:rPr>
      </w:pPr>
      <w:r>
        <w:rPr>
          <w:color w:val="000000"/>
        </w:rPr>
        <w:t>（3）同意；理由：泵站影响水文景观连续性；泵站妨碍自然美感；老旧泵站对游客存在安全隐患。</w:t>
      </w:r>
    </w:p>
    <w:p>
      <w:pPr>
        <w:spacing w:line="360" w:lineRule="auto"/>
        <w:jc w:val="left"/>
        <w:textAlignment w:val="center"/>
        <w:rPr>
          <w:color w:val="000000"/>
        </w:rPr>
      </w:pPr>
      <w:r>
        <w:rPr>
          <w:color w:val="000000"/>
        </w:rPr>
        <w:t>不同意；理由：泵站具有历史文化价值；泵站增加景点类型多样性；泵站可改造成为旅游服务接待点。</w:t>
      </w:r>
    </w:p>
    <w:p>
      <w:pPr>
        <w:spacing w:line="360" w:lineRule="auto"/>
        <w:jc w:val="left"/>
        <w:textAlignment w:val="center"/>
        <w:rPr>
          <w:color w:val="000000"/>
        </w:rPr>
      </w:pPr>
    </w:p>
    <w:p>
      <w:pPr>
        <w:spacing w:line="360" w:lineRule="auto"/>
        <w:jc w:val="both"/>
        <w:textAlignment w:val="center"/>
        <w:rPr>
          <w:color w:val="000000"/>
        </w:rPr>
      </w:pPr>
      <w:r>
        <w:rPr>
          <w:color w:val="000000"/>
        </w:rPr>
        <w:br w:type="textWrapping"/>
      </w:r>
    </w:p>
    <w:p>
      <w:pPr>
        <w:spacing w:line="360" w:lineRule="auto"/>
        <w:jc w:val="both"/>
        <w:textAlignment w:val="center"/>
        <w:rPr>
          <w:color w:val="000000"/>
        </w:rPr>
      </w:pPr>
    </w:p>
    <w:sectPr>
      <w:headerReference r:id="rId3" w:type="default"/>
      <w:footerReference r:id="rId4" w:type="default"/>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t>第</w:t>
    </w:r>
    <w:r>
      <w:fldChar w:fldCharType="begin"/>
    </w:r>
    <w:r>
      <w:instrText xml:space="preserve">PAGE</w:instrText>
    </w:r>
    <w:r>
      <w:fldChar w:fldCharType="separate"/>
    </w:r>
    <w:r>
      <w:t>1</w:t>
    </w:r>
    <w:r>
      <w:fldChar w:fldCharType="end"/>
    </w:r>
    <w:r>
      <w:t>页/共</w:t>
    </w:r>
    <w:r>
      <w:fldChar w:fldCharType="begin"/>
    </w:r>
    <w:r>
      <w:instrText xml:space="preserve">NUMPAGES</w:instrText>
    </w:r>
    <w:r>
      <w:fldChar w:fldCharType="separate"/>
    </w:r>
    <w:r>
      <w:t>1</w:t>
    </w:r>
    <w:r>
      <w:fldChar w:fldCharType="end"/>
    </w:r>
    <w:r>
      <w:t>页</w:t>
    </w:r>
  </w:p>
  <w:p>
    <w:pPr>
      <w:pStyle w:val="2"/>
    </w:pPr>
  </w:p>
  <w:p>
    <w:pPr>
      <w:tabs>
        <w:tab w:val="center" w:pos="4153"/>
        <w:tab w:val="right" w:pos="8306"/>
      </w:tabs>
      <w:snapToGrid w:val="0"/>
      <w:jc w:val="left"/>
      <w:rPr>
        <w:rFonts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r>
      <w:t xml:space="preserve">   </w:t>
    </w:r>
  </w:p>
  <w:p>
    <w:pPr>
      <w:pBdr>
        <w:bottom w:val="none" w:color="auto" w:sz="0" w:space="1"/>
      </w:pBdr>
      <w:snapToGrid w:val="0"/>
      <w:rPr>
        <w:rFonts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442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Pages>
  <Words>0</Words>
  <Characters>0</Characters>
  <Lines>0</Lines>
  <Paragraphs>0</Paragraphs>
  <TotalTime>5</TotalTime>
  <ScaleCrop>false</ScaleCrop>
  <LinksUpToDate>false</LinksUpToDate>
  <CharactersWithSpaces>0</CharactersWithSpaces>
  <Application>WPS Office_11.8.2.11542_F1E327BC-269C-435d-A152-05C5408002CA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2026-07-03T06:00:00Z</dcterms:created>
  <dc:creator>学科网试题生产平台</dc:creator>
  <dc:description>4038723228229632</dc:description>
  <cp:lastModifiedBy>Administrator</cp:lastModifiedBy>
  <dcterms:modified xsi:type="dcterms:W3CDTF">2026-07-07T12:26:58Z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{"ContentPropagator":"XKW","Label":"2","ProduceID":"4038723228229632","PropagateID":"58411130","ContentProducer":"XKW"}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y fmtid="{D5CDD505-2E9C-101B-9397-08002B2CF9AE}" pid="7" name="KSOProductBuildVer">
    <vt:lpwstr>2052-11.8.2.11542</vt:lpwstr>
  </property>
  <property fmtid="{D5CDD505-2E9C-101B-9397-08002B2CF9AE}" pid="8" name="ICV">
    <vt:lpwstr>A1DCA57E420546AFBD3FF41FA8F27BD0</vt:lpwstr>
  </property>
</Properties>
</file>